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95EA" w14:textId="56FF3EB8" w:rsidR="006C3CE4" w:rsidRPr="006C3CE4" w:rsidRDefault="00427AAE" w:rsidP="006C3CE4">
      <w:r>
        <w:t> </w:t>
      </w:r>
      <w:r w:rsidR="004C4E54">
        <w:rPr>
          <w:noProof/>
          <w:sz w:val="16"/>
          <w:szCs w:val="16"/>
        </w:rPr>
        <w:drawing>
          <wp:inline distT="0" distB="0" distL="0" distR="0" wp14:anchorId="7A826DA8" wp14:editId="78B5C375">
            <wp:extent cx="2657475" cy="7524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752475"/>
                    </a:xfrm>
                    <a:prstGeom prst="rect">
                      <a:avLst/>
                    </a:prstGeom>
                    <a:noFill/>
                    <a:ln>
                      <a:noFill/>
                    </a:ln>
                  </pic:spPr>
                </pic:pic>
              </a:graphicData>
            </a:graphic>
          </wp:inline>
        </w:drawing>
      </w:r>
      <w:r w:rsidR="004C4E54">
        <w:t xml:space="preserve">                                                      </w:t>
      </w:r>
      <w:r w:rsidR="004C4E54">
        <w:rPr>
          <w:noProof/>
        </w:rPr>
        <w:drawing>
          <wp:inline distT="0" distB="0" distL="0" distR="0" wp14:anchorId="191602CC" wp14:editId="7C75F970">
            <wp:extent cx="895350" cy="762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6C3CE4" w:rsidRPr="006C3CE4" w14:paraId="0A828F4C" w14:textId="77777777" w:rsidTr="006C3CE4">
        <w:trPr>
          <w:tblCellSpacing w:w="0" w:type="dxa"/>
        </w:trPr>
        <w:tc>
          <w:tcPr>
            <w:tcW w:w="0" w:type="auto"/>
            <w:hideMark/>
          </w:tcPr>
          <w:p w14:paraId="1BD7BB42" w14:textId="77777777" w:rsidR="004C4E54" w:rsidRDefault="004C4E54" w:rsidP="004C4E54"/>
          <w:tbl>
            <w:tblPr>
              <w:tblStyle w:val="Grilledutableau"/>
              <w:tblW w:w="0" w:type="auto"/>
              <w:tblInd w:w="704" w:type="dxa"/>
              <w:tblLook w:val="04A0" w:firstRow="1" w:lastRow="0" w:firstColumn="1" w:lastColumn="0" w:noHBand="0" w:noVBand="1"/>
            </w:tblPr>
            <w:tblGrid>
              <w:gridCol w:w="7229"/>
            </w:tblGrid>
            <w:tr w:rsidR="004C4E54" w14:paraId="76EF4F0A" w14:textId="77777777" w:rsidTr="00DF1F0A">
              <w:tc>
                <w:tcPr>
                  <w:tcW w:w="7229" w:type="dxa"/>
                  <w:shd w:val="clear" w:color="auto" w:fill="B4C6E7" w:themeFill="accent5" w:themeFillTint="66"/>
                </w:tcPr>
                <w:p w14:paraId="31678E57" w14:textId="77777777" w:rsidR="004C4E54" w:rsidRPr="00475341" w:rsidRDefault="004C4E54" w:rsidP="004C4E54">
                  <w:pPr>
                    <w:jc w:val="center"/>
                    <w:rPr>
                      <w:b/>
                      <w:bCs/>
                      <w:sz w:val="27"/>
                      <w:szCs w:val="27"/>
                    </w:rPr>
                  </w:pPr>
                  <w:r w:rsidRPr="00475341">
                    <w:rPr>
                      <w:b/>
                      <w:bCs/>
                      <w:sz w:val="27"/>
                      <w:szCs w:val="27"/>
                    </w:rPr>
                    <w:t>PROJET</w:t>
                  </w:r>
                </w:p>
                <w:p w14:paraId="6CCC5BEC" w14:textId="77777777" w:rsidR="004C4E54" w:rsidRDefault="004C4E54" w:rsidP="004C4E54">
                  <w:pPr>
                    <w:jc w:val="center"/>
                  </w:pPr>
                  <w:r>
                    <w:rPr>
                      <w:b/>
                      <w:bCs/>
                      <w:sz w:val="27"/>
                      <w:szCs w:val="27"/>
                    </w:rPr>
                    <w:t>« </w:t>
                  </w:r>
                  <w:r w:rsidRPr="0012067C">
                    <w:rPr>
                      <w:b/>
                      <w:bCs/>
                      <w:sz w:val="27"/>
                      <w:szCs w:val="27"/>
                    </w:rPr>
                    <w:t>Amélioration de la gouvernance régionale des pêches en Afrique de l'Ouest (PE</w:t>
                  </w:r>
                  <w:r>
                    <w:rPr>
                      <w:b/>
                      <w:bCs/>
                      <w:sz w:val="27"/>
                      <w:szCs w:val="27"/>
                    </w:rPr>
                    <w:t>SCAO) »</w:t>
                  </w:r>
                </w:p>
              </w:tc>
            </w:tr>
          </w:tbl>
          <w:p w14:paraId="78880C9C" w14:textId="77777777" w:rsidR="004C4E54" w:rsidRDefault="004C4E54"/>
          <w:p w14:paraId="3129EBC2" w14:textId="2D1B80BE" w:rsidR="004C4E54" w:rsidRDefault="004C4E54" w:rsidP="004C4E54">
            <w:pPr>
              <w:jc w:val="center"/>
              <w:outlineLvl w:val="2"/>
              <w:rPr>
                <w:b/>
                <w:bCs/>
                <w:sz w:val="27"/>
                <w:szCs w:val="27"/>
              </w:rPr>
            </w:pPr>
            <w:r w:rsidRPr="00475341">
              <w:rPr>
                <w:b/>
                <w:bCs/>
                <w:sz w:val="27"/>
                <w:szCs w:val="27"/>
              </w:rPr>
              <w:t xml:space="preserve">Recrutement </w:t>
            </w:r>
            <w:r w:rsidR="005B57DB">
              <w:rPr>
                <w:b/>
                <w:bCs/>
                <w:sz w:val="27"/>
                <w:szCs w:val="27"/>
              </w:rPr>
              <w:t xml:space="preserve">d’un </w:t>
            </w:r>
            <w:r w:rsidR="005B57DB" w:rsidRPr="005B57DB">
              <w:rPr>
                <w:b/>
                <w:bCs/>
                <w:sz w:val="27"/>
                <w:szCs w:val="27"/>
              </w:rPr>
              <w:t>Expert SCS, Coordonnateur du programme des observateurs à compétence sous régionale</w:t>
            </w:r>
            <w:r w:rsidR="005B57DB">
              <w:rPr>
                <w:b/>
                <w:bCs/>
                <w:sz w:val="27"/>
                <w:szCs w:val="27"/>
              </w:rPr>
              <w:t xml:space="preserve"> et</w:t>
            </w:r>
            <w:r>
              <w:rPr>
                <w:b/>
                <w:bCs/>
                <w:sz w:val="27"/>
                <w:szCs w:val="27"/>
              </w:rPr>
              <w:t xml:space="preserve"> </w:t>
            </w:r>
            <w:r w:rsidR="00E44EB8">
              <w:rPr>
                <w:b/>
                <w:bCs/>
                <w:sz w:val="27"/>
                <w:szCs w:val="27"/>
              </w:rPr>
              <w:t>Chargé du Registre des navire</w:t>
            </w:r>
            <w:r w:rsidR="005B57DB">
              <w:rPr>
                <w:b/>
                <w:bCs/>
                <w:sz w:val="27"/>
                <w:szCs w:val="27"/>
              </w:rPr>
              <w:t>s et</w:t>
            </w:r>
            <w:r w:rsidR="00E44EB8">
              <w:rPr>
                <w:b/>
                <w:bCs/>
                <w:sz w:val="27"/>
                <w:szCs w:val="27"/>
              </w:rPr>
              <w:t xml:space="preserve"> du VMS sous régional </w:t>
            </w:r>
          </w:p>
          <w:p w14:paraId="30463E0E" w14:textId="77777777" w:rsidR="004C4E54" w:rsidRDefault="004C4E54" w:rsidP="004C4E54">
            <w:pPr>
              <w:jc w:val="center"/>
              <w:outlineLvl w:val="2"/>
              <w:rPr>
                <w:b/>
                <w:bCs/>
                <w:sz w:val="27"/>
                <w:szCs w:val="27"/>
              </w:rPr>
            </w:pPr>
          </w:p>
          <w:p w14:paraId="11C76AFE" w14:textId="77777777" w:rsidR="004C4E54" w:rsidRPr="002B42DC" w:rsidRDefault="004C4E54" w:rsidP="004C4E54">
            <w:pPr>
              <w:jc w:val="center"/>
              <w:outlineLvl w:val="2"/>
              <w:rPr>
                <w:b/>
                <w:bCs/>
                <w:sz w:val="40"/>
                <w:szCs w:val="40"/>
                <w:u w:val="single"/>
              </w:rPr>
            </w:pPr>
            <w:r w:rsidRPr="002B42DC">
              <w:rPr>
                <w:b/>
                <w:bCs/>
                <w:sz w:val="40"/>
                <w:szCs w:val="40"/>
                <w:u w:val="single"/>
              </w:rPr>
              <w:t>TERMES DE REFERENCE</w:t>
            </w:r>
          </w:p>
          <w:p w14:paraId="5ACAE348" w14:textId="77777777" w:rsidR="004C4E54" w:rsidRDefault="004C4E54"/>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5264"/>
              <w:gridCol w:w="3808"/>
            </w:tblGrid>
            <w:tr w:rsidR="006C3CE4" w:rsidRPr="00226976" w14:paraId="38828B1A" w14:textId="77777777" w:rsidTr="00177662">
              <w:trPr>
                <w:tblCellSpacing w:w="15" w:type="dxa"/>
              </w:trPr>
              <w:tc>
                <w:tcPr>
                  <w:tcW w:w="0" w:type="auto"/>
                  <w:gridSpan w:val="2"/>
                  <w:vAlign w:val="center"/>
                  <w:hideMark/>
                </w:tcPr>
                <w:p w14:paraId="57537A2A" w14:textId="139E57D2" w:rsidR="00226976" w:rsidRPr="00226976" w:rsidRDefault="00226976" w:rsidP="004C4E54">
                  <w:pPr>
                    <w:spacing w:before="100" w:beforeAutospacing="1" w:after="100" w:afterAutospacing="1"/>
                    <w:outlineLvl w:val="2"/>
                    <w:rPr>
                      <w:b/>
                      <w:bCs/>
                      <w:sz w:val="27"/>
                      <w:szCs w:val="27"/>
                    </w:rPr>
                  </w:pPr>
                </w:p>
              </w:tc>
            </w:tr>
            <w:tr w:rsidR="00B515D2" w:rsidRPr="006C3CE4" w14:paraId="23F7BD3B" w14:textId="77777777" w:rsidTr="00177662">
              <w:trPr>
                <w:tblCellSpacing w:w="15" w:type="dxa"/>
              </w:trPr>
              <w:tc>
                <w:tcPr>
                  <w:tcW w:w="0" w:type="auto"/>
                  <w:vAlign w:val="center"/>
                  <w:hideMark/>
                </w:tcPr>
                <w:p w14:paraId="031F493A" w14:textId="322ADA23" w:rsidR="006C3CE4" w:rsidRPr="006C3CE4" w:rsidRDefault="0012067C" w:rsidP="005074DA">
                  <w:pPr>
                    <w:rPr>
                      <w:b/>
                      <w:bCs/>
                    </w:rPr>
                  </w:pPr>
                  <w:r>
                    <w:rPr>
                      <w:b/>
                      <w:bCs/>
                    </w:rPr>
                    <w:t>Lieu d’affectation</w:t>
                  </w:r>
                  <w:r w:rsidR="006C3CE4" w:rsidRPr="006C3CE4">
                    <w:rPr>
                      <w:b/>
                      <w:bCs/>
                    </w:rPr>
                    <w:t xml:space="preserve"> :</w:t>
                  </w:r>
                </w:p>
              </w:tc>
              <w:tc>
                <w:tcPr>
                  <w:tcW w:w="0" w:type="auto"/>
                  <w:vAlign w:val="center"/>
                  <w:hideMark/>
                </w:tcPr>
                <w:p w14:paraId="6248F54F" w14:textId="1326D124" w:rsidR="006C3CE4" w:rsidRPr="006C3CE4" w:rsidRDefault="00BC1892" w:rsidP="006C3CE4">
                  <w:r>
                    <w:t>Banjul, GAMBIE</w:t>
                  </w:r>
                </w:p>
              </w:tc>
            </w:tr>
            <w:tr w:rsidR="00B515D2" w:rsidRPr="005074DA" w14:paraId="1A675F5D" w14:textId="77777777" w:rsidTr="00177662">
              <w:trPr>
                <w:tblCellSpacing w:w="15" w:type="dxa"/>
              </w:trPr>
              <w:tc>
                <w:tcPr>
                  <w:tcW w:w="0" w:type="auto"/>
                  <w:vAlign w:val="center"/>
                  <w:hideMark/>
                </w:tcPr>
                <w:p w14:paraId="72234FA1" w14:textId="59909195" w:rsidR="006C3CE4" w:rsidRPr="005074DA" w:rsidRDefault="006C3CE4" w:rsidP="005074DA">
                  <w:pPr>
                    <w:rPr>
                      <w:b/>
                      <w:bCs/>
                      <w:lang w:val="en-GB"/>
                    </w:rPr>
                  </w:pPr>
                  <w:r w:rsidRPr="005074DA">
                    <w:rPr>
                      <w:b/>
                      <w:bCs/>
                      <w:lang w:val="en-GB"/>
                    </w:rPr>
                    <w:t>Langu</w:t>
                  </w:r>
                  <w:r w:rsidR="000A7402">
                    <w:rPr>
                      <w:b/>
                      <w:bCs/>
                      <w:lang w:val="en-GB"/>
                    </w:rPr>
                    <w:t xml:space="preserve">e de </w:t>
                  </w:r>
                  <w:r w:rsidR="00F83361">
                    <w:rPr>
                      <w:b/>
                      <w:bCs/>
                      <w:lang w:val="en-GB"/>
                    </w:rPr>
                    <w:t>travail</w:t>
                  </w:r>
                  <w:r w:rsidR="00F83361" w:rsidRPr="005074DA">
                    <w:rPr>
                      <w:b/>
                      <w:bCs/>
                      <w:lang w:val="en-GB"/>
                    </w:rPr>
                    <w:t>:</w:t>
                  </w:r>
                  <w:r w:rsidR="005074DA" w:rsidRPr="005074DA">
                    <w:rPr>
                      <w:b/>
                      <w:bCs/>
                      <w:lang w:val="en-GB"/>
                    </w:rPr>
                    <w:t xml:space="preserve"> </w:t>
                  </w:r>
                </w:p>
              </w:tc>
              <w:tc>
                <w:tcPr>
                  <w:tcW w:w="0" w:type="auto"/>
                  <w:vAlign w:val="center"/>
                  <w:hideMark/>
                </w:tcPr>
                <w:p w14:paraId="4FB2D377" w14:textId="234142ED" w:rsidR="006C3CE4" w:rsidRPr="005074DA" w:rsidRDefault="005074DA" w:rsidP="000A7402">
                  <w:pPr>
                    <w:rPr>
                      <w:bCs/>
                      <w:lang w:val="en-GB"/>
                    </w:rPr>
                  </w:pPr>
                  <w:proofErr w:type="spellStart"/>
                  <w:r w:rsidRPr="005074DA">
                    <w:rPr>
                      <w:bCs/>
                      <w:lang w:val="en-GB"/>
                    </w:rPr>
                    <w:t>Fr</w:t>
                  </w:r>
                  <w:r w:rsidR="000A7402">
                    <w:rPr>
                      <w:bCs/>
                      <w:lang w:val="en-GB"/>
                    </w:rPr>
                    <w:t>ançais</w:t>
                  </w:r>
                  <w:proofErr w:type="spellEnd"/>
                  <w:r w:rsidR="0012067C">
                    <w:rPr>
                      <w:bCs/>
                      <w:lang w:val="en-GB"/>
                    </w:rPr>
                    <w:t>/</w:t>
                  </w:r>
                  <w:r w:rsidRPr="005074DA">
                    <w:rPr>
                      <w:bCs/>
                      <w:lang w:val="en-GB"/>
                    </w:rPr>
                    <w:t xml:space="preserve"> </w:t>
                  </w:r>
                  <w:proofErr w:type="spellStart"/>
                  <w:r w:rsidR="000A7402">
                    <w:rPr>
                      <w:bCs/>
                      <w:lang w:val="en-GB"/>
                    </w:rPr>
                    <w:t>Anglais</w:t>
                  </w:r>
                  <w:proofErr w:type="spellEnd"/>
                  <w:r w:rsidR="002E3A61">
                    <w:rPr>
                      <w:bCs/>
                      <w:lang w:val="en-GB"/>
                    </w:rPr>
                    <w:t xml:space="preserve"> (</w:t>
                  </w:r>
                  <w:proofErr w:type="spellStart"/>
                  <w:r w:rsidR="002E3A61">
                    <w:rPr>
                      <w:bCs/>
                      <w:lang w:val="en-GB"/>
                    </w:rPr>
                    <w:t>souhaité</w:t>
                  </w:r>
                  <w:proofErr w:type="spellEnd"/>
                  <w:r w:rsidRPr="005074DA">
                    <w:rPr>
                      <w:bCs/>
                      <w:lang w:val="en-GB"/>
                    </w:rPr>
                    <w:t>)</w:t>
                  </w:r>
                </w:p>
              </w:tc>
            </w:tr>
            <w:tr w:rsidR="00B515D2" w:rsidRPr="00801595" w14:paraId="773CD317" w14:textId="77777777" w:rsidTr="00177662">
              <w:trPr>
                <w:tblCellSpacing w:w="15" w:type="dxa"/>
              </w:trPr>
              <w:tc>
                <w:tcPr>
                  <w:tcW w:w="0" w:type="auto"/>
                  <w:vAlign w:val="center"/>
                  <w:hideMark/>
                </w:tcPr>
                <w:p w14:paraId="0AC2322E" w14:textId="1056793F" w:rsidR="006C3CE4" w:rsidRPr="004C4E54" w:rsidRDefault="006C3CE4" w:rsidP="004C4E54">
                  <w:pPr>
                    <w:rPr>
                      <w:b/>
                      <w:bCs/>
                    </w:rPr>
                  </w:pPr>
                  <w:r w:rsidRPr="004C4E54">
                    <w:rPr>
                      <w:b/>
                      <w:bCs/>
                    </w:rPr>
                    <w:t>Date</w:t>
                  </w:r>
                  <w:r w:rsidR="000A7402" w:rsidRPr="004C4E54">
                    <w:rPr>
                      <w:b/>
                      <w:bCs/>
                    </w:rPr>
                    <w:t xml:space="preserve"> de prise de service souhaitée :</w:t>
                  </w:r>
                </w:p>
              </w:tc>
              <w:tc>
                <w:tcPr>
                  <w:tcW w:w="0" w:type="auto"/>
                  <w:vAlign w:val="center"/>
                  <w:hideMark/>
                </w:tcPr>
                <w:p w14:paraId="570BB573" w14:textId="69767531" w:rsidR="006C3CE4" w:rsidRPr="005074DA" w:rsidRDefault="00F83361" w:rsidP="001F23EB">
                  <w:pPr>
                    <w:rPr>
                      <w:bCs/>
                      <w:lang w:val="en-GB"/>
                    </w:rPr>
                  </w:pPr>
                  <w:r>
                    <w:rPr>
                      <w:bCs/>
                      <w:lang w:val="en-GB"/>
                    </w:rPr>
                    <w:t xml:space="preserve">Fin </w:t>
                  </w:r>
                  <w:proofErr w:type="spellStart"/>
                  <w:r w:rsidR="00FB0E14">
                    <w:rPr>
                      <w:bCs/>
                      <w:lang w:val="en-GB"/>
                    </w:rPr>
                    <w:t>mai</w:t>
                  </w:r>
                  <w:proofErr w:type="spellEnd"/>
                  <w:r w:rsidR="000A7402">
                    <w:rPr>
                      <w:bCs/>
                      <w:lang w:val="en-GB"/>
                    </w:rPr>
                    <w:t xml:space="preserve"> 2</w:t>
                  </w:r>
                  <w:r w:rsidR="00FB0E14">
                    <w:rPr>
                      <w:bCs/>
                      <w:lang w:val="en-GB"/>
                    </w:rPr>
                    <w:t>022</w:t>
                  </w:r>
                </w:p>
              </w:tc>
            </w:tr>
            <w:tr w:rsidR="00B515D2" w:rsidRPr="006C3CE4" w14:paraId="6343031A" w14:textId="77777777" w:rsidTr="00177662">
              <w:trPr>
                <w:tblCellSpacing w:w="15" w:type="dxa"/>
              </w:trPr>
              <w:tc>
                <w:tcPr>
                  <w:tcW w:w="0" w:type="auto"/>
                  <w:vAlign w:val="center"/>
                  <w:hideMark/>
                </w:tcPr>
                <w:p w14:paraId="737B2325" w14:textId="117EA97A" w:rsidR="006C3CE4" w:rsidRPr="002048E9" w:rsidRDefault="006C3CE4" w:rsidP="005074DA">
                  <w:pPr>
                    <w:rPr>
                      <w:b/>
                      <w:bCs/>
                    </w:rPr>
                  </w:pPr>
                  <w:r w:rsidRPr="002048E9">
                    <w:rPr>
                      <w:b/>
                      <w:bCs/>
                    </w:rPr>
                    <w:t>Dur</w:t>
                  </w:r>
                  <w:r w:rsidR="000A7402" w:rsidRPr="002048E9">
                    <w:rPr>
                      <w:b/>
                      <w:bCs/>
                    </w:rPr>
                    <w:t>é</w:t>
                  </w:r>
                  <w:r w:rsidR="006D4BFB" w:rsidRPr="002048E9">
                    <w:rPr>
                      <w:b/>
                      <w:bCs/>
                    </w:rPr>
                    <w:t>e</w:t>
                  </w:r>
                  <w:r w:rsidR="000A7402" w:rsidRPr="002048E9">
                    <w:rPr>
                      <w:b/>
                      <w:bCs/>
                    </w:rPr>
                    <w:t xml:space="preserve"> du contrat</w:t>
                  </w:r>
                  <w:r w:rsidRPr="002048E9">
                    <w:rPr>
                      <w:b/>
                      <w:bCs/>
                    </w:rPr>
                    <w:t xml:space="preserve"> :</w:t>
                  </w:r>
                </w:p>
              </w:tc>
              <w:tc>
                <w:tcPr>
                  <w:tcW w:w="0" w:type="auto"/>
                  <w:vAlign w:val="center"/>
                  <w:hideMark/>
                </w:tcPr>
                <w:p w14:paraId="56004424" w14:textId="448CC1E8" w:rsidR="006C3CE4" w:rsidRPr="002048E9" w:rsidRDefault="00FB0E14" w:rsidP="005074DA">
                  <w:pPr>
                    <w:rPr>
                      <w:bCs/>
                    </w:rPr>
                  </w:pPr>
                  <w:r w:rsidRPr="002048E9">
                    <w:rPr>
                      <w:bCs/>
                    </w:rPr>
                    <w:t>1</w:t>
                  </w:r>
                  <w:r w:rsidR="000A7402" w:rsidRPr="002048E9">
                    <w:rPr>
                      <w:bCs/>
                    </w:rPr>
                    <w:t xml:space="preserve"> an </w:t>
                  </w:r>
                </w:p>
              </w:tc>
            </w:tr>
            <w:tr w:rsidR="00B515D2" w:rsidRPr="006C3CE4" w14:paraId="18583DFE" w14:textId="77777777" w:rsidTr="00177662">
              <w:trPr>
                <w:tblCellSpacing w:w="15" w:type="dxa"/>
              </w:trPr>
              <w:tc>
                <w:tcPr>
                  <w:tcW w:w="0" w:type="auto"/>
                  <w:vAlign w:val="center"/>
                  <w:hideMark/>
                </w:tcPr>
                <w:p w14:paraId="1CDAD71C" w14:textId="2078ADFB" w:rsidR="006C3CE4" w:rsidRPr="006C3CE4" w:rsidRDefault="006C3CE4" w:rsidP="005074DA">
                  <w:pPr>
                    <w:rPr>
                      <w:b/>
                      <w:bCs/>
                    </w:rPr>
                  </w:pPr>
                </w:p>
              </w:tc>
              <w:tc>
                <w:tcPr>
                  <w:tcW w:w="0" w:type="auto"/>
                  <w:vAlign w:val="center"/>
                  <w:hideMark/>
                </w:tcPr>
                <w:p w14:paraId="127B1EC6" w14:textId="77777777" w:rsidR="006C3CE4" w:rsidRPr="006C3CE4" w:rsidRDefault="006C3CE4" w:rsidP="006C3CE4">
                  <w:pPr>
                    <w:jc w:val="center"/>
                    <w:rPr>
                      <w:b/>
                      <w:bCs/>
                    </w:rPr>
                  </w:pPr>
                </w:p>
              </w:tc>
            </w:tr>
            <w:tr w:rsidR="006C3CE4" w:rsidRPr="006C3CE4" w14:paraId="05594CD9" w14:textId="77777777" w:rsidTr="00177662">
              <w:trPr>
                <w:tblCellSpacing w:w="15" w:type="dxa"/>
              </w:trPr>
              <w:tc>
                <w:tcPr>
                  <w:tcW w:w="0" w:type="auto"/>
                  <w:gridSpan w:val="2"/>
                  <w:vAlign w:val="center"/>
                  <w:hideMark/>
                </w:tcPr>
                <w:p w14:paraId="6B89178C" w14:textId="71B4A3BD" w:rsidR="006C3CE4" w:rsidRPr="006C3CE4" w:rsidRDefault="00F83361" w:rsidP="005074DA">
                  <w:pPr>
                    <w:rPr>
                      <w:b/>
                      <w:bCs/>
                    </w:rPr>
                  </w:pPr>
                  <w:r>
                    <w:rPr>
                      <w:b/>
                      <w:bCs/>
                    </w:rPr>
                    <w:t>Contexte</w:t>
                  </w:r>
                  <w:r w:rsidRPr="006C3CE4">
                    <w:rPr>
                      <w:b/>
                      <w:bCs/>
                    </w:rPr>
                    <w:t xml:space="preserve"> :</w:t>
                  </w:r>
                </w:p>
              </w:tc>
            </w:tr>
            <w:tr w:rsidR="006C3CE4" w:rsidRPr="006C3CE4" w14:paraId="15033EBC" w14:textId="77777777" w:rsidTr="00177662">
              <w:trPr>
                <w:tblCellSpacing w:w="15" w:type="dxa"/>
              </w:trPr>
              <w:tc>
                <w:tcPr>
                  <w:tcW w:w="0" w:type="auto"/>
                  <w:gridSpan w:val="2"/>
                  <w:vAlign w:val="center"/>
                  <w:hideMark/>
                </w:tcPr>
                <w:p w14:paraId="26A45A7E" w14:textId="77777777" w:rsidR="00520098" w:rsidRPr="008026E6" w:rsidRDefault="00520098" w:rsidP="00226176">
                  <w:pPr>
                    <w:jc w:val="both"/>
                    <w:rPr>
                      <w:snapToGrid w:val="0"/>
                    </w:rPr>
                  </w:pPr>
                </w:p>
                <w:p w14:paraId="1853D9DA" w14:textId="417E994C" w:rsidR="00E54502" w:rsidRPr="008026E6" w:rsidRDefault="00E54502" w:rsidP="00E54502">
                  <w:pPr>
                    <w:jc w:val="both"/>
                    <w:rPr>
                      <w:snapToGrid w:val="0"/>
                    </w:rPr>
                  </w:pPr>
                  <w:r w:rsidRPr="008026E6">
                    <w:rPr>
                      <w:snapToGrid w:val="0"/>
                    </w:rPr>
                    <w:t xml:space="preserve">La Commission Sous Régionale des Pêches (CSRP) est un organisme intergouvernemental créé par voie de convention le 29 mars 1985 </w:t>
                  </w:r>
                  <w:r w:rsidR="002048E9" w:rsidRPr="008026E6">
                    <w:rPr>
                      <w:snapToGrid w:val="0"/>
                    </w:rPr>
                    <w:t>a</w:t>
                  </w:r>
                  <w:r w:rsidRPr="008026E6">
                    <w:rPr>
                      <w:snapToGrid w:val="0"/>
                    </w:rPr>
                    <w:t xml:space="preserve">mendée les 14 juillet 1993 et 18 mai 2017. La </w:t>
                  </w:r>
                  <w:r w:rsidR="005E1925" w:rsidRPr="008026E6">
                    <w:rPr>
                      <w:snapToGrid w:val="0"/>
                    </w:rPr>
                    <w:t>CSRP regroupe</w:t>
                  </w:r>
                  <w:r w:rsidRPr="008026E6">
                    <w:rPr>
                      <w:snapToGrid w:val="0"/>
                    </w:rPr>
                    <w:t xml:space="preserve"> sept (07) Etats </w:t>
                  </w:r>
                  <w:r w:rsidR="005E1925" w:rsidRPr="008026E6">
                    <w:rPr>
                      <w:snapToGrid w:val="0"/>
                    </w:rPr>
                    <w:t>membres que</w:t>
                  </w:r>
                  <w:r w:rsidRPr="008026E6">
                    <w:rPr>
                      <w:snapToGrid w:val="0"/>
                    </w:rPr>
                    <w:t xml:space="preserve"> sont le Cabo Verde, </w:t>
                  </w:r>
                  <w:r w:rsidR="005E1925" w:rsidRPr="008026E6">
                    <w:rPr>
                      <w:snapToGrid w:val="0"/>
                    </w:rPr>
                    <w:t>la Gambie</w:t>
                  </w:r>
                  <w:r w:rsidRPr="008026E6">
                    <w:rPr>
                      <w:snapToGrid w:val="0"/>
                    </w:rPr>
                    <w:t>, la Guinée, la Guinée Bissau, la Mauritanie, le Sénégal et la Sierra Leone et son siège est basé à Dakar (Sénégal).</w:t>
                  </w:r>
                </w:p>
                <w:p w14:paraId="724ACE51" w14:textId="77777777" w:rsidR="00520098" w:rsidRPr="008026E6" w:rsidRDefault="00520098" w:rsidP="00520098">
                  <w:pPr>
                    <w:jc w:val="both"/>
                    <w:rPr>
                      <w:snapToGrid w:val="0"/>
                    </w:rPr>
                  </w:pPr>
                </w:p>
                <w:p w14:paraId="3AD9FF8C" w14:textId="66F7CD40" w:rsidR="00520098" w:rsidRPr="008026E6" w:rsidRDefault="00520098" w:rsidP="00520098">
                  <w:pPr>
                    <w:jc w:val="both"/>
                    <w:rPr>
                      <w:snapToGrid w:val="0"/>
                    </w:rPr>
                  </w:pPr>
                  <w:r w:rsidRPr="008026E6">
                    <w:rPr>
                      <w:snapToGrid w:val="0"/>
                    </w:rPr>
                    <w:t xml:space="preserve">La CSRP a pour objectifs « l’harmonisation à long terme </w:t>
                  </w:r>
                  <w:r w:rsidR="001B2363" w:rsidRPr="008026E6">
                    <w:rPr>
                      <w:snapToGrid w:val="0"/>
                    </w:rPr>
                    <w:t xml:space="preserve">des </w:t>
                  </w:r>
                  <w:r w:rsidRPr="008026E6">
                    <w:rPr>
                      <w:snapToGrid w:val="0"/>
                    </w:rPr>
                    <w:t xml:space="preserve"> politiques des Etats membres en matière de préservation, de conservation et d'exploitation de leurs ressources halieutiques et le renforcement de leur coopération au profit du bien-être de leurs populations respectives » ; ce qui traduit parfaitement la volonté politique affirmée par les Etats membres d’assurer la gestion durable des ressources halieutiques de la sous-région, au regard des opportunités offertes par le secteur de la pêche. </w:t>
                  </w:r>
                </w:p>
                <w:p w14:paraId="3AC0C4C2" w14:textId="3C4E37C9" w:rsidR="00EE7461" w:rsidRPr="008026E6" w:rsidRDefault="00EE7461" w:rsidP="003F6739">
                  <w:pPr>
                    <w:pStyle w:val="NormalWeb"/>
                    <w:rPr>
                      <w:snapToGrid w:val="0"/>
                    </w:rPr>
                  </w:pPr>
                  <w:r w:rsidRPr="008026E6">
                    <w:rPr>
                      <w:snapToGrid w:val="0"/>
                    </w:rPr>
                    <w:t>Le secteur de la pêche revêt une grande importance sociale, économique et politique dans la sous-région de l'Afrique de l'Ouest. Cette importance peut s’apprécier de plusieurs manières, notamment (i) en tant que pourvoyeur d'emplois, générateur de revenus dans les communautés côtières et d’entrée de devises pour les Etats ; (ii) en tant qu’important contributeur à la sécurité alimentaire ; (iii) mais aussi dans le cadre de prise en compte des menaces sur la sécurité maritime qui est une nouvelle menace.</w:t>
                  </w:r>
                </w:p>
                <w:p w14:paraId="5CC07F42" w14:textId="01CE6DE0" w:rsidR="00EE7461" w:rsidRPr="008026E6" w:rsidRDefault="00177662" w:rsidP="003F6739">
                  <w:pPr>
                    <w:pStyle w:val="NormalWeb"/>
                    <w:jc w:val="both"/>
                    <w:rPr>
                      <w:color w:val="000000"/>
                    </w:rPr>
                  </w:pPr>
                  <w:r w:rsidRPr="008026E6">
                    <w:rPr>
                      <w:color w:val="000000"/>
                    </w:rPr>
                    <w:t>L</w:t>
                  </w:r>
                  <w:r w:rsidR="00EE7461" w:rsidRPr="008026E6">
                    <w:rPr>
                      <w:color w:val="000000"/>
                    </w:rPr>
                    <w:t xml:space="preserve">es principaux obstacles identifiés sont, entre autres, (i) une gouvernance politique et institutionnelle faible et/ou inadéquate aux niveaux national et régional, (ii) l'absence de  politique et/ou de stratégie claire de gestion efficace des pêches dans les EM, (iii) l’inexistence et/ou le manque de moyens aéromaritimes dédiés et adéquats à la protection des ressources halieutiques, (iv) la faiblesse des capacités humaines disponibles pour la mise en œuvre des </w:t>
                  </w:r>
                  <w:r w:rsidR="00EE7461" w:rsidRPr="008026E6">
                    <w:rPr>
                      <w:color w:val="000000"/>
                    </w:rPr>
                    <w:lastRenderedPageBreak/>
                    <w:t>moyens de surveillance et enfin (v) les lacunes en matière de système de collecte, d’analyse et de diffusion d’informations et d’indicateurs qui doivent supporter les décisions politiques. </w:t>
                  </w:r>
                </w:p>
                <w:p w14:paraId="2ACB4819" w14:textId="69238948" w:rsidR="00EE7461" w:rsidRPr="008026E6" w:rsidRDefault="00EE7461" w:rsidP="00520098">
                  <w:pPr>
                    <w:jc w:val="both"/>
                  </w:pPr>
                  <w:r w:rsidRPr="008026E6">
                    <w:t>Dans le cadre de la lutte contre cette pêche illicite, non déclarée et non réglementée (pêche INN) dans la sous-région, la Commission Sous Régionale des Pêches (CSRP) bénéficie, depuis le 3 mai 2018, d’une subvention de l’Union Européenne pour la mise en œuvre des activités du résultat 2 du programme PESCAO</w:t>
                  </w:r>
                  <w:r w:rsidR="008026E6" w:rsidRPr="008026E6">
                    <w:t xml:space="preserve"> </w:t>
                  </w:r>
                  <w:r w:rsidR="008026E6" w:rsidRPr="008026E6">
                    <w:rPr>
                      <w:i/>
                    </w:rPr>
                    <w:t>« Renforcement</w:t>
                  </w:r>
                  <w:r w:rsidRPr="008026E6">
                    <w:rPr>
                      <w:i/>
                    </w:rPr>
                    <w:t xml:space="preserve"> de la Gouvernance Régionale des Pêches en Afrique de l’Ouest »</w:t>
                  </w:r>
                  <w:r w:rsidR="00177662" w:rsidRPr="008026E6">
                    <w:t xml:space="preserve">. </w:t>
                  </w:r>
                </w:p>
                <w:p w14:paraId="5DB89F67" w14:textId="77777777" w:rsidR="00520098" w:rsidRPr="008026E6" w:rsidRDefault="00520098" w:rsidP="00520098">
                  <w:pPr>
                    <w:jc w:val="both"/>
                    <w:rPr>
                      <w:snapToGrid w:val="0"/>
                    </w:rPr>
                  </w:pPr>
                </w:p>
                <w:p w14:paraId="0EC80AFD" w14:textId="77777777" w:rsidR="00520098" w:rsidRPr="008026E6" w:rsidRDefault="00520098" w:rsidP="00520098">
                  <w:pPr>
                    <w:jc w:val="both"/>
                    <w:rPr>
                      <w:snapToGrid w:val="0"/>
                    </w:rPr>
                  </w:pPr>
                  <w:r w:rsidRPr="008026E6">
                    <w:rPr>
                      <w:snapToGrid w:val="0"/>
                    </w:rPr>
                    <w:t xml:space="preserve">Pour remédier aux difficultés suscitées, la CSRP a sollicité, à travers la CEDEAO, un appui de l’Union européenne pour le financement, dans le cadre du 11ème FED, d’un projet à caractère sous régional, de renforcement de la lutte contre la pêche INN, dénommé « projet PESCAO », dont l’objectif est de consolider et pérenniser les acquis des projets similaires déjà exécutés ou en cours d’exécution au niveau de la CSRP. </w:t>
                  </w:r>
                </w:p>
                <w:p w14:paraId="2B5A33D9" w14:textId="77777777" w:rsidR="00520098" w:rsidRPr="008026E6" w:rsidRDefault="00520098" w:rsidP="00520098">
                  <w:pPr>
                    <w:jc w:val="both"/>
                    <w:rPr>
                      <w:snapToGrid w:val="0"/>
                    </w:rPr>
                  </w:pPr>
                </w:p>
                <w:p w14:paraId="3E83DE8E" w14:textId="3B7D72DE" w:rsidR="00520098" w:rsidRPr="008026E6" w:rsidRDefault="00520098" w:rsidP="00520098">
                  <w:pPr>
                    <w:jc w:val="both"/>
                    <w:rPr>
                      <w:snapToGrid w:val="0"/>
                    </w:rPr>
                  </w:pPr>
                  <w:r w:rsidRPr="008026E6">
                    <w:rPr>
                      <w:snapToGrid w:val="0"/>
                    </w:rPr>
                    <w:t>L'objectif global du projet PESCAO</w:t>
                  </w:r>
                  <w:r w:rsidR="00246203" w:rsidRPr="008026E6">
                    <w:rPr>
                      <w:snapToGrid w:val="0"/>
                    </w:rPr>
                    <w:t>, dont la durée est de quatre (4) ans,</w:t>
                  </w:r>
                  <w:r w:rsidRPr="008026E6">
                    <w:rPr>
                      <w:snapToGrid w:val="0"/>
                    </w:rPr>
                    <w:t xml:space="preserve"> est d'améliorer la contribution des ressources halieutiques au développement durable, à la sécurité alimentaire et à la réduction de la pauvreté en Afrique </w:t>
                  </w:r>
                </w:p>
                <w:p w14:paraId="63FDB571" w14:textId="77777777" w:rsidR="00520098" w:rsidRPr="008026E6" w:rsidRDefault="00520098" w:rsidP="00520098">
                  <w:pPr>
                    <w:jc w:val="both"/>
                    <w:rPr>
                      <w:snapToGrid w:val="0"/>
                    </w:rPr>
                  </w:pPr>
                </w:p>
                <w:p w14:paraId="5B0D066C" w14:textId="0DB2A8D0" w:rsidR="00520098" w:rsidRPr="008026E6" w:rsidRDefault="00520098" w:rsidP="00520098">
                  <w:pPr>
                    <w:jc w:val="both"/>
                    <w:rPr>
                      <w:snapToGrid w:val="0"/>
                      <w:color w:val="FF0000"/>
                    </w:rPr>
                  </w:pPr>
                  <w:r w:rsidRPr="008026E6">
                    <w:rPr>
                      <w:snapToGrid w:val="0"/>
                    </w:rPr>
                    <w:t xml:space="preserve">Dans le </w:t>
                  </w:r>
                  <w:r w:rsidR="008026E6" w:rsidRPr="008026E6">
                    <w:rPr>
                      <w:snapToGrid w:val="0"/>
                    </w:rPr>
                    <w:t>cadre de</w:t>
                  </w:r>
                  <w:r w:rsidR="000C7526" w:rsidRPr="008026E6">
                    <w:rPr>
                      <w:snapToGrid w:val="0"/>
                    </w:rPr>
                    <w:t xml:space="preserve"> la mise en </w:t>
                  </w:r>
                  <w:r w:rsidR="008026E6" w:rsidRPr="008026E6">
                    <w:rPr>
                      <w:snapToGrid w:val="0"/>
                    </w:rPr>
                    <w:t>œuvre des</w:t>
                  </w:r>
                  <w:r w:rsidR="000C7526" w:rsidRPr="008026E6">
                    <w:rPr>
                      <w:snapToGrid w:val="0"/>
                    </w:rPr>
                    <w:t xml:space="preserve"> activités du Résultat 6 </w:t>
                  </w:r>
                  <w:r w:rsidR="008026E6" w:rsidRPr="008026E6">
                    <w:rPr>
                      <w:snapToGrid w:val="0"/>
                    </w:rPr>
                    <w:t>– «</w:t>
                  </w:r>
                  <w:r w:rsidR="000C7526" w:rsidRPr="008026E6">
                    <w:rPr>
                      <w:snapToGrid w:val="0"/>
                    </w:rPr>
                    <w:t xml:space="preserve"> un réseau d’observateurs régionaux est établi pour améliorer la surveillance de la flotte industrielle active dans la région » </w:t>
                  </w:r>
                  <w:r w:rsidRPr="008026E6">
                    <w:rPr>
                      <w:snapToGrid w:val="0"/>
                    </w:rPr>
                    <w:t xml:space="preserve">du projet PESCAO, la CSRP envisage le recrutement </w:t>
                  </w:r>
                  <w:r w:rsidR="00ED769D" w:rsidRPr="008026E6">
                    <w:rPr>
                      <w:snapToGrid w:val="0"/>
                    </w:rPr>
                    <w:t>d’un Expert SCS, Coordonnateur du programme des observateurs à compétence sous régionale et Chargé du Registre des navires et, du VMS sous régional</w:t>
                  </w:r>
                  <w:r w:rsidR="00ED769D" w:rsidRPr="008026E6" w:rsidDel="00ED769D">
                    <w:rPr>
                      <w:snapToGrid w:val="0"/>
                    </w:rPr>
                    <w:t xml:space="preserve"> </w:t>
                  </w:r>
                </w:p>
                <w:p w14:paraId="602FE55D" w14:textId="77777777" w:rsidR="00684ABA" w:rsidRPr="008026E6" w:rsidRDefault="00684ABA" w:rsidP="00520098">
                  <w:pPr>
                    <w:jc w:val="both"/>
                    <w:rPr>
                      <w:snapToGrid w:val="0"/>
                      <w:color w:val="FF0000"/>
                    </w:rPr>
                  </w:pPr>
                </w:p>
                <w:p w14:paraId="50DF5087" w14:textId="3512D73D" w:rsidR="00520098" w:rsidRPr="008026E6" w:rsidRDefault="00520098" w:rsidP="00520098">
                  <w:pPr>
                    <w:jc w:val="both"/>
                    <w:rPr>
                      <w:snapToGrid w:val="0"/>
                    </w:rPr>
                  </w:pPr>
                </w:p>
                <w:p w14:paraId="74A4D48D" w14:textId="77777777" w:rsidR="00520098" w:rsidRPr="008026E6" w:rsidRDefault="00520098" w:rsidP="00520098">
                  <w:pPr>
                    <w:spacing w:line="276" w:lineRule="auto"/>
                    <w:jc w:val="both"/>
                    <w:rPr>
                      <w:b/>
                      <w:lang w:val="fr-RE"/>
                    </w:rPr>
                  </w:pPr>
                  <w:r w:rsidRPr="008026E6">
                    <w:rPr>
                      <w:b/>
                      <w:lang w:val="fr-RE"/>
                    </w:rPr>
                    <w:t>Mission et Attributions</w:t>
                  </w:r>
                </w:p>
                <w:p w14:paraId="78285FDE" w14:textId="77777777" w:rsidR="00836E4C" w:rsidRPr="008026E6" w:rsidRDefault="00836E4C" w:rsidP="00836E4C">
                  <w:pPr>
                    <w:jc w:val="both"/>
                  </w:pPr>
                </w:p>
                <w:p w14:paraId="2C05E61E" w14:textId="347B6F65" w:rsidR="00EF1F6D" w:rsidRPr="008026E6" w:rsidRDefault="006C3CE4" w:rsidP="00836E4C">
                  <w:pPr>
                    <w:jc w:val="both"/>
                  </w:pPr>
                  <w:r w:rsidRPr="008026E6">
                    <w:t>Sous l</w:t>
                  </w:r>
                  <w:r w:rsidR="00776429" w:rsidRPr="008026E6">
                    <w:t>’autorité du Secrétaire Permanent</w:t>
                  </w:r>
                  <w:r w:rsidR="006479BF" w:rsidRPr="008026E6">
                    <w:t xml:space="preserve"> et la </w:t>
                  </w:r>
                  <w:r w:rsidR="00672A61" w:rsidRPr="008026E6">
                    <w:t>supervision du</w:t>
                  </w:r>
                  <w:r w:rsidRPr="008026E6">
                    <w:t xml:space="preserve"> </w:t>
                  </w:r>
                  <w:r w:rsidR="00B515D2" w:rsidRPr="008026E6">
                    <w:t>C</w:t>
                  </w:r>
                  <w:r w:rsidR="004D4037" w:rsidRPr="008026E6">
                    <w:t>oordonnateur</w:t>
                  </w:r>
                  <w:r w:rsidR="007E0DC9" w:rsidRPr="008026E6">
                    <w:t xml:space="preserve"> du projet,</w:t>
                  </w:r>
                  <w:r w:rsidR="00ED769D" w:rsidRPr="008026E6">
                    <w:t xml:space="preserve"> l’</w:t>
                  </w:r>
                  <w:r w:rsidR="00ED769D" w:rsidRPr="008026E6">
                    <w:rPr>
                      <w:snapToGrid w:val="0"/>
                    </w:rPr>
                    <w:t>Expert SCS, Coordonnateur du programme des observateurs à compétence sous régionale et Chargé du Registre des navires et</w:t>
                  </w:r>
                  <w:r w:rsidR="006A123A" w:rsidRPr="008026E6">
                    <w:rPr>
                      <w:snapToGrid w:val="0"/>
                    </w:rPr>
                    <w:t xml:space="preserve"> </w:t>
                  </w:r>
                  <w:r w:rsidR="00ED769D" w:rsidRPr="008026E6">
                    <w:rPr>
                      <w:snapToGrid w:val="0"/>
                    </w:rPr>
                    <w:t>du VMS sous régional assure la coordination du programme des observateurs à compétence sous régionale</w:t>
                  </w:r>
                  <w:r w:rsidR="006A123A" w:rsidRPr="008026E6">
                    <w:t xml:space="preserve"> et </w:t>
                  </w:r>
                  <w:r w:rsidR="000514B4" w:rsidRPr="008026E6">
                    <w:t>appuiera</w:t>
                  </w:r>
                  <w:r w:rsidR="006A123A" w:rsidRPr="008026E6">
                    <w:t xml:space="preserve"> la mise en place du VMS sous régional et la gestion du Registre sous régional</w:t>
                  </w:r>
                  <w:proofErr w:type="gramStart"/>
                  <w:r w:rsidR="006A123A" w:rsidRPr="008026E6">
                    <w:t xml:space="preserve">. </w:t>
                  </w:r>
                  <w:r w:rsidRPr="008026E6">
                    <w:t>.</w:t>
                  </w:r>
                  <w:proofErr w:type="gramEnd"/>
                  <w:r w:rsidRPr="008026E6">
                    <w:t xml:space="preserve"> A ce titre, il/elle est responsable</w:t>
                  </w:r>
                  <w:r w:rsidR="0028614D" w:rsidRPr="008026E6">
                    <w:t xml:space="preserve"> de l’</w:t>
                  </w:r>
                  <w:r w:rsidR="000514B4" w:rsidRPr="008026E6">
                    <w:t>opérationnalisation</w:t>
                  </w:r>
                  <w:r w:rsidR="0028614D" w:rsidRPr="008026E6">
                    <w:t xml:space="preserve"> du programme </w:t>
                  </w:r>
                  <w:r w:rsidR="000514B4" w:rsidRPr="008026E6">
                    <w:t xml:space="preserve">d’observateurs à compétence sous régionale pour assurer un suivi efficient de la flotte industrielle active dans la région, notamment la flotte thonière et la pêche aux petits </w:t>
                  </w:r>
                  <w:r w:rsidR="002048E9" w:rsidRPr="008026E6">
                    <w:t>pélagiques.</w:t>
                  </w:r>
                  <w:r w:rsidRPr="008026E6">
                    <w:t xml:space="preserve"> Il/elle </w:t>
                  </w:r>
                  <w:r w:rsidR="00233A46" w:rsidRPr="008026E6">
                    <w:t>a pour mission</w:t>
                  </w:r>
                  <w:r w:rsidR="00214099" w:rsidRPr="008026E6">
                    <w:t> de :</w:t>
                  </w:r>
                </w:p>
                <w:p w14:paraId="6023455B" w14:textId="77777777" w:rsidR="00836E4C" w:rsidRPr="008026E6" w:rsidRDefault="00836E4C" w:rsidP="006F0A69">
                  <w:pPr>
                    <w:jc w:val="both"/>
                  </w:pPr>
                </w:p>
                <w:p w14:paraId="4DA82497" w14:textId="3E5256F7" w:rsidR="00EF1F6D" w:rsidRPr="008026E6" w:rsidRDefault="002048E9" w:rsidP="00C53EE8">
                  <w:pPr>
                    <w:numPr>
                      <w:ilvl w:val="0"/>
                      <w:numId w:val="23"/>
                    </w:numPr>
                    <w:jc w:val="both"/>
                  </w:pPr>
                  <w:r w:rsidRPr="008026E6">
                    <w:t>Assurer</w:t>
                  </w:r>
                  <w:r w:rsidR="00F47F56" w:rsidRPr="008026E6">
                    <w:t xml:space="preserve"> </w:t>
                  </w:r>
                  <w:r w:rsidR="00EF1F6D" w:rsidRPr="008026E6">
                    <w:t>l</w:t>
                  </w:r>
                  <w:r w:rsidR="00C33511" w:rsidRPr="008026E6">
                    <w:t>a coordination</w:t>
                  </w:r>
                  <w:r w:rsidR="000F3794" w:rsidRPr="008026E6">
                    <w:t xml:space="preserve"> du programme des observateurs</w:t>
                  </w:r>
                  <w:r w:rsidR="00CA4084" w:rsidRPr="008026E6">
                    <w:t xml:space="preserve"> à compétence sous régionale</w:t>
                  </w:r>
                  <w:r w:rsidR="00EF1F6D" w:rsidRPr="008026E6">
                    <w:t>, sous la supervision du C</w:t>
                  </w:r>
                  <w:r w:rsidR="006479BF" w:rsidRPr="008026E6">
                    <w:t xml:space="preserve">oordonnateur du projet </w:t>
                  </w:r>
                  <w:r w:rsidR="00EF1F6D" w:rsidRPr="008026E6">
                    <w:t>;</w:t>
                  </w:r>
                </w:p>
                <w:p w14:paraId="35B3B21E" w14:textId="42DB9C9C" w:rsidR="00A17ED4" w:rsidRPr="008026E6" w:rsidRDefault="002048E9" w:rsidP="00A17ED4">
                  <w:pPr>
                    <w:numPr>
                      <w:ilvl w:val="0"/>
                      <w:numId w:val="23"/>
                    </w:numPr>
                    <w:jc w:val="both"/>
                  </w:pPr>
                  <w:r w:rsidRPr="008026E6">
                    <w:t>Avec</w:t>
                  </w:r>
                  <w:r w:rsidR="00CA4084" w:rsidRPr="008026E6">
                    <w:t xml:space="preserve"> l’appui de l’AECP, procéder à l’analyse des enseignements tirés </w:t>
                  </w:r>
                  <w:r w:rsidR="00A17ED4" w:rsidRPr="008026E6">
                    <w:t>des projets pilotes/études récentes et consulter les parties prenantes concernées (armateurs, CICTA, ORP, scientifiques et administrations nationales des pêches) afin de concevoir un programme rentable et pratique ;</w:t>
                  </w:r>
                </w:p>
                <w:p w14:paraId="4E5A1CF7" w14:textId="26AF6613" w:rsidR="00A17ED4" w:rsidRPr="008026E6" w:rsidRDefault="002048E9" w:rsidP="00A17ED4">
                  <w:pPr>
                    <w:numPr>
                      <w:ilvl w:val="0"/>
                      <w:numId w:val="23"/>
                    </w:numPr>
                    <w:jc w:val="both"/>
                  </w:pPr>
                  <w:r w:rsidRPr="008026E6">
                    <w:t>Définir</w:t>
                  </w:r>
                  <w:r w:rsidR="00A17ED4" w:rsidRPr="008026E6">
                    <w:t xml:space="preserve"> les </w:t>
                  </w:r>
                  <w:r w:rsidR="006501F6" w:rsidRPr="008026E6">
                    <w:t xml:space="preserve">critères et sélectionner les observateurs régionaux parmi les observateurs nationaux, les former et appuyer leur équipement ; </w:t>
                  </w:r>
                </w:p>
                <w:p w14:paraId="5609DA89" w14:textId="3ACFBBE5" w:rsidR="00A17ED4" w:rsidRPr="008026E6" w:rsidRDefault="002048E9" w:rsidP="00A17ED4">
                  <w:pPr>
                    <w:pStyle w:val="Paragraphedeliste"/>
                    <w:numPr>
                      <w:ilvl w:val="0"/>
                      <w:numId w:val="23"/>
                    </w:numPr>
                  </w:pPr>
                  <w:r w:rsidRPr="008026E6">
                    <w:t>Préparer</w:t>
                  </w:r>
                  <w:r w:rsidR="00A17ED4" w:rsidRPr="008026E6">
                    <w:t xml:space="preserve"> et organiser les sessions de mise à niveau des observateurs natio</w:t>
                  </w:r>
                  <w:r w:rsidR="00D16C38" w:rsidRPr="008026E6">
                    <w:t>naux</w:t>
                  </w:r>
                  <w:r w:rsidR="00A17ED4" w:rsidRPr="008026E6">
                    <w:t xml:space="preserve"> destinés au programme ;</w:t>
                  </w:r>
                </w:p>
                <w:p w14:paraId="0663A5B6" w14:textId="04257BDB" w:rsidR="006F0A69" w:rsidRPr="008026E6" w:rsidRDefault="002048E9" w:rsidP="008026E6">
                  <w:pPr>
                    <w:numPr>
                      <w:ilvl w:val="0"/>
                      <w:numId w:val="23"/>
                    </w:numPr>
                    <w:jc w:val="both"/>
                  </w:pPr>
                  <w:r w:rsidRPr="008026E6">
                    <w:t>Mettre</w:t>
                  </w:r>
                  <w:r w:rsidR="00D16C38" w:rsidRPr="008026E6">
                    <w:t xml:space="preserve"> au point des mécanismes pour un financement durable</w:t>
                  </w:r>
                </w:p>
                <w:p w14:paraId="6E6A4131" w14:textId="31616642" w:rsidR="006F0A69" w:rsidRPr="008026E6" w:rsidRDefault="002048E9" w:rsidP="006F0A69">
                  <w:pPr>
                    <w:numPr>
                      <w:ilvl w:val="0"/>
                      <w:numId w:val="23"/>
                    </w:numPr>
                    <w:jc w:val="both"/>
                  </w:pPr>
                  <w:r w:rsidRPr="008026E6">
                    <w:t>Assurer</w:t>
                  </w:r>
                  <w:r w:rsidR="003C3108" w:rsidRPr="008026E6">
                    <w:t xml:space="preserve"> la </w:t>
                  </w:r>
                  <w:r w:rsidR="006F0A69" w:rsidRPr="008026E6">
                    <w:t xml:space="preserve">mise en place et </w:t>
                  </w:r>
                  <w:r w:rsidR="003C3108" w:rsidRPr="008026E6">
                    <w:t>l</w:t>
                  </w:r>
                  <w:r w:rsidR="006F0A69" w:rsidRPr="008026E6">
                    <w:t>’opérationnalisation du Centre de Surveillance des Pêches (CSP) de la CSRP et du VMS sous regional ;</w:t>
                  </w:r>
                </w:p>
                <w:p w14:paraId="501E5C9C" w14:textId="77777777" w:rsidR="006F0A69" w:rsidRPr="008026E6" w:rsidRDefault="006F0A69" w:rsidP="006F0A69">
                  <w:pPr>
                    <w:jc w:val="both"/>
                  </w:pPr>
                </w:p>
                <w:p w14:paraId="640F5141" w14:textId="37624922" w:rsidR="00836E4C" w:rsidRPr="008026E6" w:rsidRDefault="002048E9" w:rsidP="00836E4C">
                  <w:pPr>
                    <w:numPr>
                      <w:ilvl w:val="0"/>
                      <w:numId w:val="23"/>
                    </w:numPr>
                    <w:jc w:val="both"/>
                  </w:pPr>
                  <w:r w:rsidRPr="008026E6">
                    <w:lastRenderedPageBreak/>
                    <w:t>Piloter</w:t>
                  </w:r>
                  <w:r w:rsidR="006F0A69" w:rsidRPr="008026E6">
                    <w:t xml:space="preserve"> les travaux de finalisation et d’opérationnalisation du registre des navires de pêche</w:t>
                  </w:r>
                </w:p>
                <w:p w14:paraId="1F30F288" w14:textId="302609AD" w:rsidR="00836E4C" w:rsidRPr="008026E6" w:rsidRDefault="002048E9" w:rsidP="00836E4C">
                  <w:pPr>
                    <w:numPr>
                      <w:ilvl w:val="0"/>
                      <w:numId w:val="23"/>
                    </w:numPr>
                    <w:jc w:val="both"/>
                  </w:pPr>
                  <w:r w:rsidRPr="008026E6">
                    <w:t>Participer</w:t>
                  </w:r>
                  <w:r w:rsidR="00EF1F6D" w:rsidRPr="008026E6">
                    <w:t xml:space="preserve"> à la planification annuelle des activités du Projet ;</w:t>
                  </w:r>
                </w:p>
                <w:p w14:paraId="2215FB75" w14:textId="51D0A401" w:rsidR="00836E4C" w:rsidRPr="008026E6" w:rsidRDefault="002048E9" w:rsidP="00836E4C">
                  <w:pPr>
                    <w:numPr>
                      <w:ilvl w:val="0"/>
                      <w:numId w:val="23"/>
                    </w:numPr>
                    <w:jc w:val="both"/>
                  </w:pPr>
                  <w:r w:rsidRPr="008026E6">
                    <w:t>Contribuer</w:t>
                  </w:r>
                  <w:r w:rsidR="00EF1F6D" w:rsidRPr="008026E6">
                    <w:t xml:space="preserve"> à la conduite des activités régionales et nationales en rapport avec le C</w:t>
                  </w:r>
                  <w:r w:rsidR="006479BF" w:rsidRPr="008026E6">
                    <w:t>oordonnateur du projet</w:t>
                  </w:r>
                  <w:r w:rsidR="00EF1F6D" w:rsidRPr="008026E6">
                    <w:t xml:space="preserve"> ;</w:t>
                  </w:r>
                </w:p>
                <w:p w14:paraId="18B76CFF" w14:textId="4F5FB942" w:rsidR="00836E4C" w:rsidRPr="008026E6" w:rsidRDefault="002048E9" w:rsidP="00A656B3">
                  <w:pPr>
                    <w:numPr>
                      <w:ilvl w:val="0"/>
                      <w:numId w:val="23"/>
                    </w:numPr>
                    <w:jc w:val="both"/>
                  </w:pPr>
                  <w:r w:rsidRPr="008026E6">
                    <w:t>Identifier</w:t>
                  </w:r>
                  <w:r w:rsidR="00D507A7" w:rsidRPr="008026E6">
                    <w:t xml:space="preserve"> les priorités et problèmes à résoudre et proposer des mesures </w:t>
                  </w:r>
                  <w:r w:rsidRPr="008026E6">
                    <w:t>correctives ;</w:t>
                  </w:r>
                </w:p>
                <w:p w14:paraId="136476F2" w14:textId="25EC7F67" w:rsidR="007A4F29" w:rsidRPr="008026E6" w:rsidRDefault="002048E9" w:rsidP="00C53EE8">
                  <w:pPr>
                    <w:numPr>
                      <w:ilvl w:val="0"/>
                      <w:numId w:val="23"/>
                    </w:numPr>
                    <w:jc w:val="both"/>
                  </w:pPr>
                  <w:r w:rsidRPr="008026E6">
                    <w:t>Réaliser</w:t>
                  </w:r>
                  <w:r w:rsidR="00D507A7" w:rsidRPr="008026E6">
                    <w:t xml:space="preserve"> toutes autres tâches relatives </w:t>
                  </w:r>
                  <w:r w:rsidR="007A4F29" w:rsidRPr="008026E6">
                    <w:t>aux</w:t>
                  </w:r>
                  <w:r w:rsidR="00D507A7" w:rsidRPr="008026E6">
                    <w:t xml:space="preserve"> </w:t>
                  </w:r>
                  <w:r w:rsidR="00A656B3" w:rsidRPr="008026E6">
                    <w:t>TIC</w:t>
                  </w:r>
                  <w:r w:rsidR="00D507A7" w:rsidRPr="008026E6">
                    <w:t xml:space="preserve"> du Projet</w:t>
                  </w:r>
                  <w:r w:rsidR="007A4F29" w:rsidRPr="008026E6">
                    <w:t>.</w:t>
                  </w:r>
                  <w:r w:rsidR="00D507A7" w:rsidRPr="008026E6">
                    <w:t xml:space="preserve"> </w:t>
                  </w:r>
                </w:p>
                <w:p w14:paraId="53FA5623" w14:textId="0BB9993C" w:rsidR="00C53EE8" w:rsidRPr="008026E6" w:rsidRDefault="00A656B3" w:rsidP="008026E6">
                  <w:pPr>
                    <w:pStyle w:val="Paragraphedeliste"/>
                    <w:numPr>
                      <w:ilvl w:val="0"/>
                      <w:numId w:val="23"/>
                    </w:numPr>
                    <w:spacing w:line="276" w:lineRule="auto"/>
                    <w:jc w:val="both"/>
                    <w:rPr>
                      <w:color w:val="000000"/>
                    </w:rPr>
                  </w:pPr>
                  <w:r w:rsidRPr="008026E6">
                    <w:rPr>
                      <w:color w:val="000000"/>
                    </w:rPr>
                    <w:t>Faire l</w:t>
                  </w:r>
                  <w:r w:rsidR="009A0C82" w:rsidRPr="008026E6">
                    <w:rPr>
                      <w:color w:val="000000"/>
                    </w:rPr>
                    <w:t>’analyse des données</w:t>
                  </w:r>
                  <w:r w:rsidRPr="008026E6">
                    <w:rPr>
                      <w:color w:val="000000"/>
                    </w:rPr>
                    <w:t xml:space="preserve"> VMS et AIS</w:t>
                  </w:r>
                  <w:r w:rsidR="009A0C82" w:rsidRPr="008026E6">
                    <w:rPr>
                      <w:color w:val="000000"/>
                    </w:rPr>
                    <w:t xml:space="preserve"> et la digitalisation des positions dans les opérations conjointes de surveillance</w:t>
                  </w:r>
                  <w:r w:rsidR="00340A59" w:rsidRPr="008026E6">
                    <w:rPr>
                      <w:color w:val="000000"/>
                    </w:rPr>
                    <w:t> ;</w:t>
                  </w:r>
                </w:p>
                <w:p w14:paraId="226FCBD8" w14:textId="13C05418" w:rsidR="00C53EE8" w:rsidRPr="008026E6" w:rsidRDefault="00C53EE8" w:rsidP="00C53EE8">
                  <w:pPr>
                    <w:pStyle w:val="Paragraphedeliste"/>
                    <w:numPr>
                      <w:ilvl w:val="0"/>
                      <w:numId w:val="23"/>
                    </w:numPr>
                    <w:spacing w:line="276" w:lineRule="auto"/>
                    <w:jc w:val="both"/>
                    <w:rPr>
                      <w:color w:val="000000"/>
                    </w:rPr>
                  </w:pPr>
                  <w:r w:rsidRPr="008026E6">
                    <w:rPr>
                      <w:rFonts w:eastAsiaTheme="minorHAnsi"/>
                      <w:color w:val="000000"/>
                      <w:lang w:eastAsia="en-US"/>
                    </w:rPr>
                    <w:t>Superviser et assurer une utilisation plus large des outils SCS, notamment le Registre sous régional des navires de pêche, le programme des observateurs et le VMS,</w:t>
                  </w:r>
                </w:p>
                <w:p w14:paraId="749C93BA" w14:textId="34832AC5" w:rsidR="00C53EE8" w:rsidRPr="008026E6" w:rsidRDefault="00C53EE8" w:rsidP="00C53EE8">
                  <w:pPr>
                    <w:pStyle w:val="Paragraphedeliste"/>
                    <w:numPr>
                      <w:ilvl w:val="0"/>
                      <w:numId w:val="23"/>
                    </w:numPr>
                    <w:spacing w:line="276" w:lineRule="auto"/>
                    <w:jc w:val="both"/>
                    <w:rPr>
                      <w:color w:val="000000"/>
                    </w:rPr>
                  </w:pPr>
                  <w:r w:rsidRPr="008026E6">
                    <w:rPr>
                      <w:rFonts w:eastAsiaTheme="minorHAnsi"/>
                      <w:color w:val="000000"/>
                      <w:lang w:eastAsia="en-US"/>
                    </w:rPr>
                    <w:t xml:space="preserve">Appuyer le coordinateur à </w:t>
                  </w:r>
                  <w:r w:rsidR="002048E9" w:rsidRPr="008026E6">
                    <w:rPr>
                      <w:rFonts w:eastAsiaTheme="minorHAnsi"/>
                      <w:color w:val="000000"/>
                      <w:lang w:eastAsia="en-US"/>
                    </w:rPr>
                    <w:t>pr</w:t>
                  </w:r>
                  <w:r w:rsidRPr="008026E6">
                    <w:rPr>
                      <w:rFonts w:eastAsiaTheme="minorHAnsi"/>
                      <w:color w:val="000000"/>
                      <w:lang w:eastAsia="en-US"/>
                    </w:rPr>
                    <w:t>éparer et coordonner éventuellement les opérations régionales conjointes de surveillance des pêches pour lutter contre la pêche INN ;</w:t>
                  </w:r>
                </w:p>
                <w:p w14:paraId="7DA8A853" w14:textId="6888CA06" w:rsidR="00340A59" w:rsidRPr="008026E6" w:rsidRDefault="00C53EE8" w:rsidP="008026E6">
                  <w:pPr>
                    <w:pStyle w:val="Paragraphedeliste"/>
                    <w:numPr>
                      <w:ilvl w:val="0"/>
                      <w:numId w:val="23"/>
                    </w:numPr>
                    <w:spacing w:line="276" w:lineRule="auto"/>
                    <w:jc w:val="both"/>
                    <w:rPr>
                      <w:color w:val="000000"/>
                    </w:rPr>
                  </w:pPr>
                  <w:r w:rsidRPr="008026E6">
                    <w:rPr>
                      <w:rFonts w:eastAsiaTheme="minorHAnsi"/>
                      <w:color w:val="000000"/>
                      <w:lang w:eastAsia="en-US"/>
                    </w:rPr>
                    <w:t>Mutualiser les moyens de surveillance des pêches (VMS-AIS-Radio-Patrouilleurs) pour un bon suivi des activités des navires de pêche dans la région</w:t>
                  </w:r>
                </w:p>
                <w:p w14:paraId="43B2EAA6" w14:textId="649A331A" w:rsidR="006F0A69" w:rsidRPr="008026E6" w:rsidRDefault="002048E9" w:rsidP="006F0A69">
                  <w:pPr>
                    <w:pStyle w:val="Paragraphedeliste"/>
                    <w:numPr>
                      <w:ilvl w:val="0"/>
                      <w:numId w:val="23"/>
                    </w:numPr>
                    <w:spacing w:line="276" w:lineRule="auto"/>
                    <w:jc w:val="both"/>
                    <w:rPr>
                      <w:color w:val="000000"/>
                    </w:rPr>
                  </w:pPr>
                  <w:r w:rsidRPr="008026E6">
                    <w:rPr>
                      <w:color w:val="000000"/>
                    </w:rPr>
                    <w:t>Préparer</w:t>
                  </w:r>
                  <w:r w:rsidR="009A0C82" w:rsidRPr="008026E6">
                    <w:rPr>
                      <w:color w:val="000000"/>
                    </w:rPr>
                    <w:t xml:space="preserve"> et organis</w:t>
                  </w:r>
                  <w:r w:rsidR="00A656B3" w:rsidRPr="008026E6">
                    <w:rPr>
                      <w:color w:val="000000"/>
                    </w:rPr>
                    <w:t>er</w:t>
                  </w:r>
                  <w:r w:rsidR="009A0C82" w:rsidRPr="008026E6">
                    <w:rPr>
                      <w:color w:val="000000"/>
                    </w:rPr>
                    <w:t xml:space="preserve"> des réunions virtuelles du PESCAO ;</w:t>
                  </w:r>
                </w:p>
                <w:p w14:paraId="2040D027" w14:textId="23795BE7" w:rsidR="006F0A69" w:rsidRPr="008026E6" w:rsidRDefault="002048E9" w:rsidP="006F0A69">
                  <w:pPr>
                    <w:pStyle w:val="Paragraphedeliste"/>
                    <w:numPr>
                      <w:ilvl w:val="0"/>
                      <w:numId w:val="23"/>
                    </w:numPr>
                    <w:spacing w:line="276" w:lineRule="auto"/>
                    <w:jc w:val="both"/>
                    <w:rPr>
                      <w:color w:val="000000"/>
                    </w:rPr>
                  </w:pPr>
                  <w:r w:rsidRPr="008026E6">
                    <w:rPr>
                      <w:color w:val="000000"/>
                    </w:rPr>
                    <w:t>Préparer</w:t>
                  </w:r>
                  <w:r w:rsidR="00340A59" w:rsidRPr="008026E6">
                    <w:rPr>
                      <w:color w:val="000000"/>
                    </w:rPr>
                    <w:t xml:space="preserve"> e</w:t>
                  </w:r>
                  <w:r w:rsidRPr="008026E6">
                    <w:rPr>
                      <w:color w:val="000000"/>
                    </w:rPr>
                    <w:t xml:space="preserve">t </w:t>
                  </w:r>
                  <w:r w:rsidR="006E7045" w:rsidRPr="008026E6">
                    <w:rPr>
                      <w:color w:val="000000"/>
                    </w:rPr>
                    <w:t xml:space="preserve">organiser les </w:t>
                  </w:r>
                  <w:r w:rsidRPr="008026E6">
                    <w:rPr>
                      <w:color w:val="000000"/>
                    </w:rPr>
                    <w:t xml:space="preserve">sessions de </w:t>
                  </w:r>
                  <w:r w:rsidR="006E7045" w:rsidRPr="008026E6">
                    <w:rPr>
                      <w:color w:val="000000"/>
                    </w:rPr>
                    <w:t>formations</w:t>
                  </w:r>
                  <w:r w:rsidR="00340A59" w:rsidRPr="008026E6">
                    <w:rPr>
                      <w:color w:val="000000"/>
                    </w:rPr>
                    <w:t> ;</w:t>
                  </w:r>
                </w:p>
                <w:p w14:paraId="67AD13B0" w14:textId="33B97664" w:rsidR="00A656B3" w:rsidRPr="008026E6" w:rsidRDefault="00340A59" w:rsidP="00C53EE8">
                  <w:pPr>
                    <w:pStyle w:val="Paragraphedeliste"/>
                    <w:numPr>
                      <w:ilvl w:val="0"/>
                      <w:numId w:val="23"/>
                    </w:numPr>
                    <w:spacing w:line="276" w:lineRule="auto"/>
                    <w:jc w:val="both"/>
                    <w:rPr>
                      <w:color w:val="000000"/>
                    </w:rPr>
                  </w:pPr>
                  <w:r w:rsidRPr="008026E6">
                    <w:rPr>
                      <w:color w:val="000000"/>
                    </w:rPr>
                    <w:t>Assurer le suivi du bon fonctionnement des processus du système d’information ;</w:t>
                  </w:r>
                  <w:r w:rsidR="006E7045" w:rsidRPr="008026E6">
                    <w:rPr>
                      <w:color w:val="000000"/>
                    </w:rPr>
                    <w:t xml:space="preserve"> </w:t>
                  </w:r>
                </w:p>
                <w:p w14:paraId="64CA8C25" w14:textId="38958493" w:rsidR="006C3CE4" w:rsidRPr="008026E6" w:rsidRDefault="00B515D2" w:rsidP="00B17ACF">
                  <w:pPr>
                    <w:spacing w:before="100" w:beforeAutospacing="1" w:after="100" w:afterAutospacing="1"/>
                    <w:jc w:val="both"/>
                  </w:pPr>
                  <w:r w:rsidRPr="008026E6">
                    <w:t>Le</w:t>
                  </w:r>
                  <w:r w:rsidR="00214099" w:rsidRPr="008026E6">
                    <w:t>/la</w:t>
                  </w:r>
                  <w:r w:rsidRPr="008026E6">
                    <w:t xml:space="preserve"> </w:t>
                  </w:r>
                  <w:r w:rsidR="00A656B3" w:rsidRPr="008026E6">
                    <w:t>Expert</w:t>
                  </w:r>
                  <w:r w:rsidR="0012067C" w:rsidRPr="008026E6">
                    <w:t xml:space="preserve"> devra</w:t>
                  </w:r>
                  <w:r w:rsidR="006C3CE4" w:rsidRPr="008026E6">
                    <w:t xml:space="preserve"> travaille</w:t>
                  </w:r>
                  <w:r w:rsidR="0012067C" w:rsidRPr="008026E6">
                    <w:t>r</w:t>
                  </w:r>
                  <w:r w:rsidR="006C3CE4" w:rsidRPr="008026E6">
                    <w:t xml:space="preserve"> en étroite collaboration avec les autres </w:t>
                  </w:r>
                  <w:r w:rsidRPr="008026E6">
                    <w:t xml:space="preserve">collègues recrutés dans le cadre du PESCAO et </w:t>
                  </w:r>
                  <w:r w:rsidR="006C3CE4" w:rsidRPr="008026E6">
                    <w:t xml:space="preserve">de </w:t>
                  </w:r>
                  <w:r w:rsidRPr="008026E6">
                    <w:t xml:space="preserve">la CSRP, sous </w:t>
                  </w:r>
                  <w:r w:rsidR="000257C9" w:rsidRPr="008026E6">
                    <w:t>l’autorité du Secrétaire Permanent et la supervision directe du C</w:t>
                  </w:r>
                  <w:r w:rsidR="004D4037" w:rsidRPr="008026E6">
                    <w:t>oordonnateur du projet</w:t>
                  </w:r>
                  <w:r w:rsidRPr="008026E6">
                    <w:t>.</w:t>
                  </w:r>
                </w:p>
                <w:p w14:paraId="7ACFE7F9" w14:textId="123D1602" w:rsidR="00233A46" w:rsidRPr="008026E6" w:rsidRDefault="00214099" w:rsidP="00EF1F6D">
                  <w:pPr>
                    <w:spacing w:before="100" w:beforeAutospacing="1" w:after="100" w:afterAutospacing="1"/>
                    <w:rPr>
                      <w:b/>
                      <w:bCs/>
                    </w:rPr>
                  </w:pPr>
                  <w:r w:rsidRPr="008026E6">
                    <w:rPr>
                      <w:b/>
                      <w:bCs/>
                    </w:rPr>
                    <w:t>Q</w:t>
                  </w:r>
                  <w:r w:rsidR="00EF1F6D" w:rsidRPr="008026E6">
                    <w:rPr>
                      <w:b/>
                      <w:bCs/>
                    </w:rPr>
                    <w:t>ualifications requises :</w:t>
                  </w:r>
                </w:p>
              </w:tc>
            </w:tr>
            <w:tr w:rsidR="006C3CE4" w:rsidRPr="006C3CE4" w14:paraId="31C81F15" w14:textId="77777777" w:rsidTr="00177662">
              <w:trPr>
                <w:tblCellSpacing w:w="15" w:type="dxa"/>
              </w:trPr>
              <w:tc>
                <w:tcPr>
                  <w:tcW w:w="0" w:type="auto"/>
                  <w:gridSpan w:val="2"/>
                  <w:vAlign w:val="center"/>
                  <w:hideMark/>
                </w:tcPr>
                <w:p w14:paraId="388A6EC4" w14:textId="76E1605C" w:rsidR="006C3CE4" w:rsidRPr="00672A61" w:rsidRDefault="006C3CE4" w:rsidP="007E0DC9">
                  <w:pPr>
                    <w:rPr>
                      <w:b/>
                      <w:bCs/>
                    </w:rPr>
                  </w:pPr>
                </w:p>
              </w:tc>
            </w:tr>
            <w:tr w:rsidR="006C3CE4" w:rsidRPr="006C3CE4" w14:paraId="1A22CDCA" w14:textId="77777777" w:rsidTr="00177662">
              <w:trPr>
                <w:tblCellSpacing w:w="15" w:type="dxa"/>
              </w:trPr>
              <w:tc>
                <w:tcPr>
                  <w:tcW w:w="0" w:type="auto"/>
                  <w:gridSpan w:val="2"/>
                  <w:vAlign w:val="center"/>
                  <w:hideMark/>
                </w:tcPr>
                <w:p w14:paraId="3ED1D480" w14:textId="1ABDF499" w:rsidR="00214099" w:rsidRPr="00672A61" w:rsidRDefault="00A24E32" w:rsidP="007E0DC9">
                  <w:pPr>
                    <w:jc w:val="both"/>
                  </w:pPr>
                  <w:r w:rsidRPr="00A24E32">
                    <w:t>L’Expert</w:t>
                  </w:r>
                  <w:r w:rsidRPr="002048E9">
                    <w:t xml:space="preserve"> SCS, Coordonnateur du programme des observateurs à compétence sous régionale et Chargé du Registre des navires et du VMS sous régional</w:t>
                  </w:r>
                  <w:r w:rsidRPr="00A24E32">
                    <w:t xml:space="preserve"> </w:t>
                  </w:r>
                  <w:r w:rsidR="00214099" w:rsidRPr="00672A61">
                    <w:t>doit avoir le profil suivant :</w:t>
                  </w:r>
                </w:p>
                <w:p w14:paraId="5D691AFF" w14:textId="77777777" w:rsidR="009E15A8" w:rsidRPr="007F3504" w:rsidRDefault="009E15A8" w:rsidP="009E15A8">
                  <w:pPr>
                    <w:rPr>
                      <w:color w:val="000000"/>
                    </w:rPr>
                  </w:pPr>
                </w:p>
                <w:p w14:paraId="787BF401" w14:textId="73308F86" w:rsidR="003461EF" w:rsidRPr="008026E6" w:rsidRDefault="002048E9" w:rsidP="008026E6">
                  <w:pPr>
                    <w:numPr>
                      <w:ilvl w:val="0"/>
                      <w:numId w:val="21"/>
                    </w:numPr>
                    <w:contextualSpacing/>
                    <w:jc w:val="both"/>
                    <w:rPr>
                      <w:color w:val="000000"/>
                      <w:lang w:eastAsia="en-US"/>
                    </w:rPr>
                  </w:pPr>
                  <w:r>
                    <w:rPr>
                      <w:color w:val="000000"/>
                    </w:rPr>
                    <w:t>Être</w:t>
                  </w:r>
                  <w:r w:rsidR="009E15A8" w:rsidRPr="007F3504">
                    <w:rPr>
                      <w:color w:val="000000"/>
                    </w:rPr>
                    <w:t xml:space="preserve"> titulaire d’un Diplôme</w:t>
                  </w:r>
                  <w:r w:rsidR="00A24E32">
                    <w:rPr>
                      <w:color w:val="000000"/>
                    </w:rPr>
                    <w:t xml:space="preserve"> de niveau Master II (BAC +5)</w:t>
                  </w:r>
                  <w:r w:rsidR="009E15A8" w:rsidRPr="007F3504">
                    <w:rPr>
                      <w:color w:val="000000"/>
                    </w:rPr>
                    <w:t xml:space="preserve"> </w:t>
                  </w:r>
                  <w:r w:rsidR="00D32D0F">
                    <w:rPr>
                      <w:color w:val="000000"/>
                    </w:rPr>
                    <w:t>en informatiqu</w:t>
                  </w:r>
                  <w:r w:rsidR="00D32D0F" w:rsidRPr="00BE48FC">
                    <w:rPr>
                      <w:color w:val="000000"/>
                    </w:rPr>
                    <w:t>e</w:t>
                  </w:r>
                  <w:r w:rsidR="00715257">
                    <w:rPr>
                      <w:color w:val="000000"/>
                    </w:rPr>
                    <w:t xml:space="preserve">, dans un ou plusieurs domaines d’intervention du projet (pêche, biologie marine, environnement, gestion </w:t>
                  </w:r>
                  <w:r w:rsidR="0027043A">
                    <w:rPr>
                      <w:color w:val="000000"/>
                    </w:rPr>
                    <w:t>des</w:t>
                  </w:r>
                  <w:r w:rsidR="00715257">
                    <w:rPr>
                      <w:color w:val="000000"/>
                    </w:rPr>
                    <w:t xml:space="preserve"> ressources</w:t>
                  </w:r>
                  <w:r w:rsidR="0027043A">
                    <w:rPr>
                      <w:color w:val="000000"/>
                    </w:rPr>
                    <w:t xml:space="preserve"> naturelles ou équivalent)</w:t>
                  </w:r>
                  <w:r w:rsidR="00BE48FC" w:rsidRPr="00BE48FC">
                    <w:rPr>
                      <w:color w:val="000000"/>
                    </w:rPr>
                    <w:t xml:space="preserve"> </w:t>
                  </w:r>
                  <w:r w:rsidR="00BE48FC" w:rsidRPr="007079B1">
                    <w:rPr>
                      <w:color w:val="000000"/>
                    </w:rPr>
                    <w:t xml:space="preserve">ou dans tout autre domaine de spécialisation </w:t>
                  </w:r>
                  <w:r w:rsidRPr="007079B1">
                    <w:rPr>
                      <w:color w:val="000000"/>
                    </w:rPr>
                    <w:t>pertinent</w:t>
                  </w:r>
                  <w:r>
                    <w:rPr>
                      <w:color w:val="000000"/>
                    </w:rPr>
                    <w:t xml:space="preserve"> </w:t>
                  </w:r>
                  <w:r w:rsidRPr="007F3504">
                    <w:rPr>
                      <w:color w:val="000000"/>
                    </w:rPr>
                    <w:t>;</w:t>
                  </w:r>
                </w:p>
                <w:p w14:paraId="600EC22D" w14:textId="1E6D4C8E" w:rsidR="004A67C6" w:rsidRDefault="002048E9" w:rsidP="008026E6">
                  <w:pPr>
                    <w:pStyle w:val="Paragraphedeliste"/>
                    <w:numPr>
                      <w:ilvl w:val="0"/>
                      <w:numId w:val="21"/>
                    </w:numPr>
                    <w:jc w:val="both"/>
                  </w:pPr>
                  <w:r w:rsidRPr="00672A61">
                    <w:t>Justifier</w:t>
                  </w:r>
                  <w:r w:rsidR="003461EF" w:rsidRPr="00672A61">
                    <w:t xml:space="preserve"> d’une expérience professionnelle d’au moins sept (7) ans dans</w:t>
                  </w:r>
                  <w:r>
                    <w:t xml:space="preserve"> </w:t>
                  </w:r>
                  <w:r w:rsidR="003461EF" w:rsidRPr="00672A61">
                    <w:t>les domaines</w:t>
                  </w:r>
                  <w:r w:rsidR="004A67C6">
                    <w:t xml:space="preserve"> du SCS, de </w:t>
                  </w:r>
                  <w:r w:rsidR="00DB16DE">
                    <w:t>l’</w:t>
                  </w:r>
                  <w:r w:rsidR="00DB16DE" w:rsidRPr="00672A61">
                    <w:t>informatique</w:t>
                  </w:r>
                  <w:r w:rsidR="00BE48FC">
                    <w:t xml:space="preserve"> </w:t>
                  </w:r>
                  <w:r w:rsidR="00DB16DE">
                    <w:t>et la</w:t>
                  </w:r>
                  <w:r w:rsidR="004A67C6">
                    <w:t xml:space="preserve"> </w:t>
                  </w:r>
                  <w:r w:rsidR="00BE48FC">
                    <w:t xml:space="preserve">gestion et </w:t>
                  </w:r>
                  <w:r w:rsidR="004A67C6">
                    <w:t xml:space="preserve">le </w:t>
                  </w:r>
                  <w:r w:rsidR="00BE48FC">
                    <w:t xml:space="preserve">traitement des données SCS </w:t>
                  </w:r>
                  <w:r w:rsidR="00094994">
                    <w:t xml:space="preserve">et de la </w:t>
                  </w:r>
                  <w:r w:rsidR="00DB16DE">
                    <w:t>pêche</w:t>
                  </w:r>
                  <w:r w:rsidR="00DB16DE" w:rsidRPr="00672A61">
                    <w:t xml:space="preserve"> ;</w:t>
                  </w:r>
                </w:p>
                <w:p w14:paraId="508D7EE5" w14:textId="02412B8D" w:rsidR="009E15A8" w:rsidRPr="008026E6" w:rsidRDefault="00DB16DE" w:rsidP="009E15A8">
                  <w:pPr>
                    <w:pStyle w:val="Paragraphedeliste"/>
                    <w:numPr>
                      <w:ilvl w:val="0"/>
                      <w:numId w:val="21"/>
                    </w:numPr>
                    <w:jc w:val="both"/>
                  </w:pPr>
                  <w:r>
                    <w:t>Avoir</w:t>
                  </w:r>
                  <w:r w:rsidR="004A67C6">
                    <w:t xml:space="preserve"> une bonne connaissance des lois et règlements des Etats membres de la CSRP sur le rôle et l’embarquement d’observateurs</w:t>
                  </w:r>
                  <w:r w:rsidR="00796C7A">
                    <w:t xml:space="preserve"> nationaux ou/ et à compétences sous régionales ;</w:t>
                  </w:r>
                </w:p>
                <w:p w14:paraId="342EE061" w14:textId="0F760CCC" w:rsidR="009E15A8" w:rsidRPr="008026E6" w:rsidRDefault="00DB16DE" w:rsidP="008026E6">
                  <w:pPr>
                    <w:numPr>
                      <w:ilvl w:val="0"/>
                      <w:numId w:val="21"/>
                    </w:numPr>
                    <w:contextualSpacing/>
                    <w:jc w:val="both"/>
                  </w:pPr>
                  <w:r w:rsidRPr="00317E27">
                    <w:rPr>
                      <w:color w:val="000000"/>
                    </w:rPr>
                    <w:t>Avoir</w:t>
                  </w:r>
                  <w:r w:rsidR="009E15A8" w:rsidRPr="00317E27">
                    <w:rPr>
                      <w:color w:val="000000"/>
                    </w:rPr>
                    <w:t xml:space="preserve"> </w:t>
                  </w:r>
                  <w:r w:rsidR="009E15A8">
                    <w:rPr>
                      <w:color w:val="000000"/>
                    </w:rPr>
                    <w:t xml:space="preserve">au </w:t>
                  </w:r>
                  <w:r w:rsidRPr="00E60283">
                    <w:t xml:space="preserve">minimum </w:t>
                  </w:r>
                  <w:r>
                    <w:t>cinq</w:t>
                  </w:r>
                  <w:r w:rsidR="009E15A8" w:rsidRPr="00E60283">
                    <w:t xml:space="preserve"> (</w:t>
                  </w:r>
                  <w:r w:rsidR="009E15A8">
                    <w:t>5</w:t>
                  </w:r>
                  <w:r w:rsidR="009E15A8" w:rsidRPr="00E60283">
                    <w:t>) ans d’expérience professionnelle dans un poste similaire dans un projet, dans un programme</w:t>
                  </w:r>
                  <w:r w:rsidR="00BE48FC">
                    <w:t xml:space="preserve"> ou dans une Organisation régionale de </w:t>
                  </w:r>
                  <w:r>
                    <w:t>pêche</w:t>
                  </w:r>
                  <w:r w:rsidRPr="00317E27">
                    <w:rPr>
                      <w:color w:val="000000"/>
                    </w:rPr>
                    <w:t xml:space="preserve"> ;</w:t>
                  </w:r>
                </w:p>
                <w:p w14:paraId="372ADBBA" w14:textId="6E692E5B" w:rsidR="009E15A8" w:rsidRPr="008026E6" w:rsidRDefault="00DB16DE" w:rsidP="009E15A8">
                  <w:pPr>
                    <w:numPr>
                      <w:ilvl w:val="0"/>
                      <w:numId w:val="21"/>
                    </w:numPr>
                    <w:contextualSpacing/>
                    <w:jc w:val="both"/>
                  </w:pPr>
                  <w:r w:rsidRPr="00317E27">
                    <w:t>Justifier</w:t>
                  </w:r>
                  <w:r w:rsidR="009E15A8" w:rsidRPr="00317E27">
                    <w:t xml:space="preserve"> une bonne connaissance des procédures </w:t>
                  </w:r>
                  <w:r w:rsidR="006F0A69">
                    <w:t xml:space="preserve">de la CSRP, </w:t>
                  </w:r>
                  <w:r w:rsidR="009E15A8" w:rsidRPr="00317E27">
                    <w:t xml:space="preserve">de l’Union Européenne </w:t>
                  </w:r>
                  <w:r w:rsidR="009E15A8" w:rsidRPr="00E60283">
                    <w:t>et/ou d’un partenaire technique et financier similaire ;</w:t>
                  </w:r>
                </w:p>
                <w:p w14:paraId="117C0E72" w14:textId="0D96E0E0" w:rsidR="005749FF" w:rsidRDefault="005749FF" w:rsidP="008026E6">
                  <w:pPr>
                    <w:numPr>
                      <w:ilvl w:val="0"/>
                      <w:numId w:val="21"/>
                    </w:numPr>
                    <w:contextualSpacing/>
                    <w:jc w:val="both"/>
                  </w:pPr>
                  <w:r w:rsidRPr="007079B1">
                    <w:t xml:space="preserve">Avoir une bonne maitrise des systèmes VMS, AIS et d’autres systèmes de suivi </w:t>
                  </w:r>
                  <w:r w:rsidR="00C53EE8">
                    <w:t xml:space="preserve">des navires </w:t>
                  </w:r>
                  <w:r w:rsidRPr="007079B1">
                    <w:t>et savoir analyser et exploiter les informations issues de ces systèmes ;</w:t>
                  </w:r>
                </w:p>
                <w:p w14:paraId="1C8C86FD" w14:textId="29E20A19" w:rsidR="009E15A8" w:rsidRPr="006F0A69" w:rsidRDefault="005749FF" w:rsidP="008026E6">
                  <w:pPr>
                    <w:numPr>
                      <w:ilvl w:val="0"/>
                      <w:numId w:val="21"/>
                    </w:numPr>
                    <w:contextualSpacing/>
                    <w:jc w:val="both"/>
                  </w:pPr>
                  <w:r w:rsidRPr="007079B1">
                    <w:t xml:space="preserve">Avoir au moins 5 ans d’expérience dans la gestion </w:t>
                  </w:r>
                  <w:r w:rsidRPr="005749FF">
                    <w:t xml:space="preserve">des données de pêche </w:t>
                  </w:r>
                  <w:r w:rsidRPr="007079B1">
                    <w:t>d’un centre de surveillance et de suivi des navires de pêche</w:t>
                  </w:r>
                  <w:r w:rsidR="009B5CFC">
                    <w:t> ;</w:t>
                  </w:r>
                  <w:r w:rsidRPr="007079B1">
                    <w:t xml:space="preserve"> </w:t>
                  </w:r>
                </w:p>
                <w:p w14:paraId="2DFF9C82" w14:textId="25AB14A2" w:rsidR="00094994" w:rsidRPr="001D5CF7" w:rsidRDefault="00DB16DE" w:rsidP="00643C17">
                  <w:pPr>
                    <w:numPr>
                      <w:ilvl w:val="0"/>
                      <w:numId w:val="21"/>
                    </w:numPr>
                    <w:autoSpaceDE w:val="0"/>
                    <w:autoSpaceDN w:val="0"/>
                    <w:adjustRightInd w:val="0"/>
                    <w:jc w:val="both"/>
                    <w:rPr>
                      <w:rFonts w:eastAsia="Calibri"/>
                      <w:b/>
                      <w:color w:val="000000"/>
                      <w:u w:val="single"/>
                    </w:rPr>
                  </w:pPr>
                  <w:r>
                    <w:rPr>
                      <w:rFonts w:eastAsia="Calibri"/>
                      <w:color w:val="000000"/>
                    </w:rPr>
                    <w:t>Avoir</w:t>
                  </w:r>
                  <w:r w:rsidR="009E15A8">
                    <w:rPr>
                      <w:rFonts w:eastAsia="Calibri"/>
                      <w:color w:val="000000"/>
                    </w:rPr>
                    <w:t xml:space="preserve"> une </w:t>
                  </w:r>
                  <w:r w:rsidR="009E15A8" w:rsidRPr="007F3504">
                    <w:rPr>
                      <w:rFonts w:eastAsia="Calibri"/>
                      <w:color w:val="000000"/>
                    </w:rPr>
                    <w:t xml:space="preserve">compétence </w:t>
                  </w:r>
                  <w:r w:rsidR="00796E9D">
                    <w:rPr>
                      <w:rFonts w:eastAsia="Calibri"/>
                      <w:color w:val="000000"/>
                    </w:rPr>
                    <w:t>avérée</w:t>
                  </w:r>
                  <w:r w:rsidR="005749FF">
                    <w:rPr>
                      <w:rFonts w:eastAsia="Calibri"/>
                      <w:color w:val="000000"/>
                    </w:rPr>
                    <w:t xml:space="preserve"> dans l’</w:t>
                  </w:r>
                  <w:r w:rsidR="00094994">
                    <w:rPr>
                      <w:rFonts w:eastAsia="Calibri"/>
                      <w:color w:val="000000"/>
                    </w:rPr>
                    <w:t>utilisation des outils informatique d’analyse</w:t>
                  </w:r>
                  <w:r w:rsidR="00796E9D">
                    <w:rPr>
                      <w:rFonts w:eastAsia="Calibri"/>
                      <w:color w:val="000000"/>
                    </w:rPr>
                    <w:t xml:space="preserve"> des données</w:t>
                  </w:r>
                  <w:r w:rsidR="00094994">
                    <w:rPr>
                      <w:rFonts w:eastAsia="Calibri"/>
                      <w:color w:val="000000"/>
                    </w:rPr>
                    <w:t xml:space="preserve"> (Power </w:t>
                  </w:r>
                  <w:r>
                    <w:rPr>
                      <w:rFonts w:eastAsia="Calibri"/>
                      <w:color w:val="000000"/>
                    </w:rPr>
                    <w:t xml:space="preserve">point, </w:t>
                  </w:r>
                  <w:r w:rsidR="00094994">
                    <w:rPr>
                      <w:rFonts w:eastAsia="Calibri"/>
                      <w:color w:val="000000"/>
                    </w:rPr>
                    <w:t>suites Microsoft SSIS, SSRS</w:t>
                  </w:r>
                  <w:proofErr w:type="gramStart"/>
                  <w:r w:rsidR="00796E9D">
                    <w:rPr>
                      <w:rFonts w:eastAsia="Calibri"/>
                      <w:color w:val="000000"/>
                    </w:rPr>
                    <w:t>)</w:t>
                  </w:r>
                  <w:r w:rsidR="00094994">
                    <w:rPr>
                      <w:rFonts w:eastAsia="Calibri"/>
                      <w:color w:val="000000"/>
                    </w:rPr>
                    <w:t>;</w:t>
                  </w:r>
                  <w:proofErr w:type="gramEnd"/>
                </w:p>
                <w:p w14:paraId="0EC0D0BE" w14:textId="77777777" w:rsidR="001D5CF7" w:rsidRDefault="001D5CF7" w:rsidP="001D5CF7">
                  <w:pPr>
                    <w:pStyle w:val="Paragraphedeliste"/>
                    <w:rPr>
                      <w:rFonts w:eastAsia="Calibri"/>
                      <w:b/>
                      <w:color w:val="000000"/>
                      <w:u w:val="single"/>
                    </w:rPr>
                  </w:pPr>
                </w:p>
                <w:p w14:paraId="4223FEAB" w14:textId="0FE54E6F" w:rsidR="00094994" w:rsidRPr="009B2896" w:rsidRDefault="00DB16DE" w:rsidP="008026E6">
                  <w:pPr>
                    <w:pStyle w:val="font8"/>
                    <w:numPr>
                      <w:ilvl w:val="0"/>
                      <w:numId w:val="21"/>
                    </w:numPr>
                    <w:spacing w:before="0" w:beforeAutospacing="0" w:after="0" w:afterAutospacing="0"/>
                    <w:textAlignment w:val="baseline"/>
                  </w:pPr>
                  <w:r w:rsidRPr="009B2896">
                    <w:rPr>
                      <w:bdr w:val="none" w:sz="0" w:space="0" w:color="auto" w:frame="1"/>
                    </w:rPr>
                    <w:lastRenderedPageBreak/>
                    <w:t>Justifier</w:t>
                  </w:r>
                  <w:r w:rsidR="00643C17" w:rsidRPr="009B2896">
                    <w:rPr>
                      <w:bdr w:val="none" w:sz="0" w:space="0" w:color="auto" w:frame="1"/>
                    </w:rPr>
                    <w:t xml:space="preserve"> d’une expérience démontrée dans un domaine pertinent de la gestion et/ou de l'analyse de bases de données/d'archives ;</w:t>
                  </w:r>
                </w:p>
                <w:p w14:paraId="027B4B4C" w14:textId="045DC7C5" w:rsidR="00094994" w:rsidRPr="009B2896" w:rsidRDefault="00DB16DE" w:rsidP="008026E6">
                  <w:pPr>
                    <w:numPr>
                      <w:ilvl w:val="0"/>
                      <w:numId w:val="21"/>
                    </w:numPr>
                    <w:autoSpaceDE w:val="0"/>
                    <w:autoSpaceDN w:val="0"/>
                    <w:adjustRightInd w:val="0"/>
                    <w:jc w:val="both"/>
                    <w:rPr>
                      <w:rFonts w:eastAsia="Calibri"/>
                      <w:b/>
                      <w:color w:val="000000"/>
                      <w:u w:val="single"/>
                    </w:rPr>
                  </w:pPr>
                  <w:r w:rsidRPr="009B2896">
                    <w:rPr>
                      <w:rFonts w:eastAsia="Calibri"/>
                      <w:color w:val="000000"/>
                    </w:rPr>
                    <w:t>Avoir</w:t>
                  </w:r>
                  <w:r w:rsidR="00094994" w:rsidRPr="009B2896">
                    <w:rPr>
                      <w:rFonts w:eastAsia="Calibri"/>
                      <w:color w:val="000000"/>
                    </w:rPr>
                    <w:t xml:space="preserve"> une bonne maitrise des SGBD tel que </w:t>
                  </w:r>
                  <w:proofErr w:type="spellStart"/>
                  <w:r w:rsidR="009B5CFC" w:rsidRPr="009B2896">
                    <w:rPr>
                      <w:rFonts w:eastAsia="Calibri"/>
                      <w:color w:val="000000"/>
                    </w:rPr>
                    <w:t>P</w:t>
                  </w:r>
                  <w:r w:rsidR="00094994" w:rsidRPr="009B2896">
                    <w:rPr>
                      <w:rFonts w:eastAsia="Calibri"/>
                      <w:color w:val="000000"/>
                    </w:rPr>
                    <w:t>ostgresql</w:t>
                  </w:r>
                  <w:proofErr w:type="spellEnd"/>
                  <w:r w:rsidR="00094994" w:rsidRPr="009B2896">
                    <w:rPr>
                      <w:rFonts w:eastAsia="Calibri"/>
                      <w:color w:val="000000"/>
                    </w:rPr>
                    <w:t>, MS SQL, MySQL etc…</w:t>
                  </w:r>
                </w:p>
                <w:p w14:paraId="3D4EABD9" w14:textId="600A99A6" w:rsidR="00796E9D" w:rsidRPr="009B2896" w:rsidRDefault="00DB16DE" w:rsidP="008026E6">
                  <w:pPr>
                    <w:numPr>
                      <w:ilvl w:val="0"/>
                      <w:numId w:val="21"/>
                    </w:numPr>
                    <w:autoSpaceDE w:val="0"/>
                    <w:autoSpaceDN w:val="0"/>
                    <w:adjustRightInd w:val="0"/>
                    <w:jc w:val="both"/>
                    <w:rPr>
                      <w:rFonts w:eastAsia="Calibri"/>
                      <w:b/>
                      <w:color w:val="000000"/>
                      <w:u w:val="single"/>
                    </w:rPr>
                  </w:pPr>
                  <w:r w:rsidRPr="009B2896">
                    <w:rPr>
                      <w:rFonts w:eastAsia="Calibri"/>
                      <w:color w:val="000000"/>
                    </w:rPr>
                    <w:t>Avoir</w:t>
                  </w:r>
                  <w:r w:rsidR="00094994" w:rsidRPr="009B2896">
                    <w:rPr>
                      <w:rFonts w:eastAsia="Calibri"/>
                      <w:color w:val="000000"/>
                    </w:rPr>
                    <w:t xml:space="preserve"> une bonne maitrise du langage python</w:t>
                  </w:r>
                  <w:r w:rsidR="006F0A69" w:rsidRPr="009B2896">
                    <w:rPr>
                      <w:rFonts w:eastAsia="Calibri"/>
                      <w:color w:val="000000"/>
                    </w:rPr>
                    <w:t xml:space="preserve"> et Talend</w:t>
                  </w:r>
                  <w:r w:rsidR="00094994" w:rsidRPr="009B2896">
                    <w:rPr>
                      <w:rFonts w:eastAsia="Calibri"/>
                      <w:color w:val="000000"/>
                    </w:rPr>
                    <w:t xml:space="preserve"> pour le traitement et la reprise des données</w:t>
                  </w:r>
                  <w:r w:rsidR="009B5CFC" w:rsidRPr="009B2896">
                    <w:rPr>
                      <w:rFonts w:eastAsia="Calibri"/>
                      <w:color w:val="000000"/>
                    </w:rPr>
                    <w:t> ;</w:t>
                  </w:r>
                  <w:r w:rsidR="009E15A8" w:rsidRPr="009B2896">
                    <w:rPr>
                      <w:rFonts w:eastAsia="Calibri"/>
                      <w:color w:val="000000"/>
                    </w:rPr>
                    <w:t> </w:t>
                  </w:r>
                </w:p>
                <w:p w14:paraId="19378ADD" w14:textId="1D4D367F" w:rsidR="009B5CFC" w:rsidRPr="009B2896" w:rsidRDefault="007A4F29" w:rsidP="009B5CFC">
                  <w:pPr>
                    <w:numPr>
                      <w:ilvl w:val="0"/>
                      <w:numId w:val="21"/>
                    </w:numPr>
                    <w:autoSpaceDE w:val="0"/>
                    <w:autoSpaceDN w:val="0"/>
                    <w:adjustRightInd w:val="0"/>
                    <w:jc w:val="both"/>
                    <w:rPr>
                      <w:rFonts w:eastAsia="Calibri"/>
                      <w:color w:val="000000"/>
                    </w:rPr>
                  </w:pPr>
                  <w:r w:rsidRPr="009B2896">
                    <w:rPr>
                      <w:rFonts w:eastAsia="Calibri"/>
                      <w:color w:val="000000"/>
                    </w:rPr>
                    <w:t xml:space="preserve">Justifier </w:t>
                  </w:r>
                  <w:r w:rsidR="006F0A69" w:rsidRPr="009B2896">
                    <w:rPr>
                      <w:rFonts w:eastAsia="Calibri"/>
                      <w:color w:val="000000"/>
                    </w:rPr>
                    <w:t>une bonne connaissance</w:t>
                  </w:r>
                  <w:r w:rsidRPr="009B2896">
                    <w:rPr>
                      <w:rFonts w:eastAsia="Calibri"/>
                      <w:color w:val="000000"/>
                    </w:rPr>
                    <w:t xml:space="preserve"> des Outils SIG (QGIS, ARCGIS etc…)</w:t>
                  </w:r>
                </w:p>
                <w:p w14:paraId="0F406440" w14:textId="6E331F89" w:rsidR="009B5CFC" w:rsidRPr="009B2896" w:rsidRDefault="00DB16DE" w:rsidP="008026E6">
                  <w:pPr>
                    <w:numPr>
                      <w:ilvl w:val="0"/>
                      <w:numId w:val="21"/>
                    </w:numPr>
                    <w:contextualSpacing/>
                    <w:jc w:val="both"/>
                  </w:pPr>
                  <w:r w:rsidRPr="009B2896">
                    <w:t>Être</w:t>
                  </w:r>
                  <w:r w:rsidR="009B5CFC" w:rsidRPr="009B2896">
                    <w:t xml:space="preserve"> disponible pour effectuer des missions de terrain dans les pays couverts par le projet ;</w:t>
                  </w:r>
                </w:p>
                <w:p w14:paraId="7FEEEFB7" w14:textId="52F6F049" w:rsidR="009B5CFC" w:rsidRPr="009B2896" w:rsidRDefault="00DB16DE" w:rsidP="008026E6">
                  <w:pPr>
                    <w:numPr>
                      <w:ilvl w:val="0"/>
                      <w:numId w:val="21"/>
                    </w:numPr>
                    <w:autoSpaceDE w:val="0"/>
                    <w:autoSpaceDN w:val="0"/>
                    <w:adjustRightInd w:val="0"/>
                    <w:jc w:val="both"/>
                    <w:rPr>
                      <w:rFonts w:eastAsia="Calibri"/>
                      <w:b/>
                      <w:color w:val="000000"/>
                      <w:u w:val="single"/>
                    </w:rPr>
                  </w:pPr>
                  <w:r w:rsidRPr="009B2896">
                    <w:rPr>
                      <w:rFonts w:eastAsia="Calibri"/>
                      <w:color w:val="000000"/>
                    </w:rPr>
                    <w:t>Avoir</w:t>
                  </w:r>
                  <w:r w:rsidR="009B5CFC" w:rsidRPr="009B2896">
                    <w:rPr>
                      <w:rFonts w:eastAsia="Calibri"/>
                      <w:color w:val="000000"/>
                    </w:rPr>
                    <w:t xml:space="preserve"> </w:t>
                  </w:r>
                  <w:r w:rsidRPr="009B2896">
                    <w:rPr>
                      <w:rFonts w:eastAsia="Calibri"/>
                      <w:color w:val="000000"/>
                    </w:rPr>
                    <w:t>une parfaite</w:t>
                  </w:r>
                  <w:r w:rsidR="009B5CFC" w:rsidRPr="009B2896">
                    <w:rPr>
                      <w:rFonts w:eastAsia="Calibri"/>
                      <w:color w:val="000000"/>
                    </w:rPr>
                    <w:t xml:space="preserve"> maîtrise </w:t>
                  </w:r>
                  <w:r w:rsidRPr="009B2896">
                    <w:rPr>
                      <w:rFonts w:eastAsia="Calibri"/>
                      <w:color w:val="000000"/>
                    </w:rPr>
                    <w:t>du Français</w:t>
                  </w:r>
                  <w:r w:rsidR="009B5CFC" w:rsidRPr="009B2896">
                    <w:rPr>
                      <w:rFonts w:eastAsia="Calibri"/>
                      <w:color w:val="000000"/>
                    </w:rPr>
                    <w:t xml:space="preserve"> tant à l’écrit qu’à </w:t>
                  </w:r>
                  <w:r w:rsidR="003F6739" w:rsidRPr="009B2896">
                    <w:rPr>
                      <w:rFonts w:eastAsia="Calibri"/>
                      <w:color w:val="000000"/>
                    </w:rPr>
                    <w:t>l’oral ;</w:t>
                  </w:r>
                  <w:r w:rsidR="009B5CFC" w:rsidRPr="009B2896">
                    <w:rPr>
                      <w:rFonts w:eastAsia="Calibri"/>
                      <w:color w:val="000000"/>
                    </w:rPr>
                    <w:t xml:space="preserve"> </w:t>
                  </w:r>
                </w:p>
                <w:p w14:paraId="0C6F3B31" w14:textId="2A92724C" w:rsidR="009B5CFC" w:rsidRPr="009B2896" w:rsidRDefault="00DB16DE" w:rsidP="00643C17">
                  <w:pPr>
                    <w:numPr>
                      <w:ilvl w:val="0"/>
                      <w:numId w:val="21"/>
                    </w:numPr>
                    <w:autoSpaceDE w:val="0"/>
                    <w:autoSpaceDN w:val="0"/>
                    <w:adjustRightInd w:val="0"/>
                    <w:jc w:val="both"/>
                    <w:rPr>
                      <w:rFonts w:eastAsia="Calibri"/>
                      <w:color w:val="000000"/>
                    </w:rPr>
                  </w:pPr>
                  <w:r w:rsidRPr="009B2896">
                    <w:rPr>
                      <w:rFonts w:eastAsia="Calibri"/>
                      <w:color w:val="000000"/>
                    </w:rPr>
                    <w:t>Avoir</w:t>
                  </w:r>
                  <w:r w:rsidR="009B5CFC" w:rsidRPr="009B2896">
                    <w:rPr>
                      <w:rFonts w:eastAsia="Calibri"/>
                      <w:color w:val="000000"/>
                    </w:rPr>
                    <w:t xml:space="preserve"> une connaissance du domaine halieutique </w:t>
                  </w:r>
                  <w:r w:rsidRPr="009B2896">
                    <w:rPr>
                      <w:rFonts w:eastAsia="Calibri"/>
                      <w:color w:val="000000"/>
                    </w:rPr>
                    <w:t>serait un plus</w:t>
                  </w:r>
                </w:p>
                <w:p w14:paraId="043463DF" w14:textId="77777777" w:rsidR="000D1E68" w:rsidRDefault="000D1E68" w:rsidP="007E0DC9">
                  <w:pPr>
                    <w:contextualSpacing/>
                    <w:rPr>
                      <w:b/>
                      <w:bCs/>
                    </w:rPr>
                  </w:pPr>
                </w:p>
                <w:p w14:paraId="3688EE6C" w14:textId="1EC49041" w:rsidR="00214099" w:rsidRPr="00672A61" w:rsidRDefault="00214099" w:rsidP="007E0DC9">
                  <w:pPr>
                    <w:contextualSpacing/>
                    <w:rPr>
                      <w:b/>
                      <w:bCs/>
                    </w:rPr>
                  </w:pPr>
                  <w:r w:rsidRPr="00672A61">
                    <w:rPr>
                      <w:b/>
                      <w:bCs/>
                    </w:rPr>
                    <w:t>Durée de la mission</w:t>
                  </w:r>
                </w:p>
                <w:p w14:paraId="3E2F75C8" w14:textId="77777777" w:rsidR="00214099" w:rsidRPr="00672A61" w:rsidRDefault="00214099" w:rsidP="007E0DC9">
                  <w:pPr>
                    <w:jc w:val="both"/>
                  </w:pPr>
                </w:p>
                <w:p w14:paraId="3DC65D9C" w14:textId="347E4F84" w:rsidR="00214099" w:rsidRPr="00672A61" w:rsidRDefault="00214099" w:rsidP="007E0DC9">
                  <w:pPr>
                    <w:jc w:val="both"/>
                  </w:pPr>
                  <w:r w:rsidRPr="00672A61">
                    <w:t xml:space="preserve">Le </w:t>
                  </w:r>
                  <w:r w:rsidRPr="00736E7E">
                    <w:t xml:space="preserve">contrat de </w:t>
                  </w:r>
                  <w:r w:rsidR="00672A61" w:rsidRPr="00736E7E">
                    <w:t>consultant</w:t>
                  </w:r>
                  <w:r w:rsidRPr="00736E7E">
                    <w:t xml:space="preserve"> </w:t>
                  </w:r>
                  <w:r w:rsidR="00796C7A" w:rsidRPr="00736E7E">
                    <w:t xml:space="preserve">de l’Expert SCS, Coordonnateur du programme des observateurs à compétence sous régionale et Chargé du Registre des navires et du VMS sous régional </w:t>
                  </w:r>
                  <w:r w:rsidRPr="00736E7E">
                    <w:t>sera d’une durée d</w:t>
                  </w:r>
                  <w:r w:rsidR="00C260AB" w:rsidRPr="00736E7E">
                    <w:t>’un</w:t>
                  </w:r>
                  <w:r w:rsidRPr="00736E7E">
                    <w:t xml:space="preserve"> (</w:t>
                  </w:r>
                  <w:r w:rsidR="00C260AB" w:rsidRPr="00736E7E">
                    <w:t>1)</w:t>
                  </w:r>
                  <w:r w:rsidRPr="00736E7E">
                    <w:t xml:space="preserve"> an,</w:t>
                  </w:r>
                  <w:r w:rsidR="009E4B74" w:rsidRPr="00736E7E">
                    <w:t xml:space="preserve"> </w:t>
                  </w:r>
                  <w:r w:rsidRPr="00672A61">
                    <w:t>avec une possibilité de renouvellement</w:t>
                  </w:r>
                  <w:r w:rsidR="00095BD5" w:rsidRPr="00672A61">
                    <w:t xml:space="preserve"> pour une seconde période </w:t>
                  </w:r>
                  <w:r w:rsidR="00C260AB" w:rsidRPr="00672A61">
                    <w:t>d</w:t>
                  </w:r>
                  <w:r w:rsidR="00C260AB">
                    <w:t>’un</w:t>
                  </w:r>
                  <w:r w:rsidR="00C260AB" w:rsidRPr="00672A61">
                    <w:t xml:space="preserve"> (</w:t>
                  </w:r>
                  <w:r w:rsidR="00C260AB">
                    <w:t>1)</w:t>
                  </w:r>
                  <w:r w:rsidR="00C260AB" w:rsidRPr="00672A61">
                    <w:t xml:space="preserve"> an</w:t>
                  </w:r>
                  <w:r w:rsidR="00796C7A">
                    <w:t xml:space="preserve"> dépendant des mécanismes pour un financement durable mis en place</w:t>
                  </w:r>
                  <w:r w:rsidRPr="00672A61">
                    <w:t xml:space="preserve">. </w:t>
                  </w:r>
                </w:p>
                <w:p w14:paraId="57C345BB" w14:textId="6CC1A6A2" w:rsidR="005D203A" w:rsidRPr="00672A61" w:rsidRDefault="005D203A" w:rsidP="007E0DC9"/>
                <w:p w14:paraId="0A67CA76" w14:textId="3A516755" w:rsidR="009A2366" w:rsidRPr="009A2366" w:rsidRDefault="005C426A" w:rsidP="009A2366">
                  <w:pPr>
                    <w:spacing w:line="276" w:lineRule="auto"/>
                    <w:ind w:right="72"/>
                    <w:jc w:val="both"/>
                  </w:pPr>
                  <w:r>
                    <w:t>L</w:t>
                  </w:r>
                  <w:r w:rsidRPr="00A24E32">
                    <w:t>’Expert</w:t>
                  </w:r>
                  <w:r w:rsidRPr="005F5B85">
                    <w:t xml:space="preserve"> SCS, Coordonnateur du programme des observateurs à compétence sous régionale et Chargé du Registre des navires et du VMS sous régional</w:t>
                  </w:r>
                  <w:r w:rsidRPr="00A24E32">
                    <w:t xml:space="preserve"> </w:t>
                  </w:r>
                  <w:r w:rsidR="009A2366" w:rsidRPr="009A2366">
                    <w:t xml:space="preserve">sera sélectionné en accord avec </w:t>
                  </w:r>
                  <w:r w:rsidR="002A0C91" w:rsidRPr="009A2366">
                    <w:t>les dispositions</w:t>
                  </w:r>
                  <w:r w:rsidR="00603F9E" w:rsidRPr="005E1925">
                    <w:t xml:space="preserve"> du Manuel des Procédures administratives, comptables et financières de la Commission Sous Régionale des Pêches</w:t>
                  </w:r>
                  <w:r w:rsidR="009A2366" w:rsidRPr="009A2366">
                    <w:t xml:space="preserve">. </w:t>
                  </w:r>
                </w:p>
                <w:p w14:paraId="4ACEC70A" w14:textId="77777777" w:rsidR="009A2366" w:rsidRPr="009A2366" w:rsidRDefault="009A2366" w:rsidP="009A2366">
                  <w:pPr>
                    <w:spacing w:line="276" w:lineRule="auto"/>
                    <w:jc w:val="both"/>
                  </w:pPr>
                </w:p>
                <w:p w14:paraId="79B6B0FB" w14:textId="77777777" w:rsidR="009A2366" w:rsidRPr="009A2366" w:rsidRDefault="009A2366" w:rsidP="009A2366">
                  <w:pPr>
                    <w:spacing w:line="276" w:lineRule="auto"/>
                    <w:jc w:val="both"/>
                  </w:pPr>
                  <w:r w:rsidRPr="009A2366">
                    <w:t>Les candidats doivent fournir les documents suivants :</w:t>
                  </w:r>
                </w:p>
                <w:p w14:paraId="70B09207" w14:textId="7E64FC70" w:rsidR="009A2366" w:rsidRPr="009A2366" w:rsidRDefault="009A2366" w:rsidP="00643C17">
                  <w:pPr>
                    <w:numPr>
                      <w:ilvl w:val="0"/>
                      <w:numId w:val="21"/>
                    </w:numPr>
                    <w:spacing w:line="276" w:lineRule="auto"/>
                    <w:contextualSpacing/>
                    <w:jc w:val="both"/>
                  </w:pPr>
                  <w:r w:rsidRPr="009A2366">
                    <w:t>Une lettre de motivation</w:t>
                  </w:r>
                  <w:r w:rsidR="005E1925">
                    <w:t>,</w:t>
                  </w:r>
                </w:p>
                <w:p w14:paraId="2EEFE30F" w14:textId="6772009A" w:rsidR="00B819BF" w:rsidRPr="00B819BF" w:rsidRDefault="002A0C91" w:rsidP="00643C17">
                  <w:pPr>
                    <w:numPr>
                      <w:ilvl w:val="0"/>
                      <w:numId w:val="21"/>
                    </w:numPr>
                    <w:spacing w:line="276" w:lineRule="auto"/>
                    <w:contextualSpacing/>
                    <w:jc w:val="both"/>
                  </w:pPr>
                  <w:r w:rsidRPr="009A2366">
                    <w:t>Un CV</w:t>
                  </w:r>
                  <w:r w:rsidR="009A2366" w:rsidRPr="009A2366">
                    <w:t xml:space="preserve"> détaillé</w:t>
                  </w:r>
                  <w:r w:rsidR="005E1925">
                    <w:t xml:space="preserve"> prouvant l</w:t>
                  </w:r>
                  <w:r>
                    <w:t xml:space="preserve">eur </w:t>
                  </w:r>
                  <w:r w:rsidR="005E1925">
                    <w:t>aptitude à effectuer la mission</w:t>
                  </w:r>
                  <w:r w:rsidR="00B819BF">
                    <w:t xml:space="preserve"> (état civil, qualifications, expérience </w:t>
                  </w:r>
                  <w:r w:rsidR="00B819BF" w:rsidRPr="00B819BF">
                    <w:t>professionnelle</w:t>
                  </w:r>
                  <w:r w:rsidR="00B819BF">
                    <w:t>, etc..)</w:t>
                  </w:r>
                  <w:r w:rsidR="00B819BF" w:rsidRPr="00B819BF">
                    <w:t xml:space="preserve"> ;</w:t>
                  </w:r>
                </w:p>
                <w:p w14:paraId="40DF18B2" w14:textId="292E7DDD" w:rsidR="009A2366" w:rsidRPr="009A2366" w:rsidRDefault="00B819BF" w:rsidP="00643C17">
                  <w:pPr>
                    <w:numPr>
                      <w:ilvl w:val="0"/>
                      <w:numId w:val="21"/>
                    </w:numPr>
                    <w:spacing w:line="276" w:lineRule="auto"/>
                    <w:contextualSpacing/>
                    <w:jc w:val="both"/>
                  </w:pPr>
                  <w:r>
                    <w:t>Une copie légalisée des</w:t>
                  </w:r>
                  <w:r w:rsidRPr="00B819BF">
                    <w:t xml:space="preserve"> diplôme</w:t>
                  </w:r>
                  <w:r>
                    <w:t>s</w:t>
                  </w:r>
                  <w:r w:rsidRPr="00B819BF">
                    <w:t xml:space="preserve"> </w:t>
                  </w:r>
                  <w:r w:rsidR="00324E02">
                    <w:t>et attestations de service fait.</w:t>
                  </w:r>
                </w:p>
                <w:p w14:paraId="49C32BC5" w14:textId="77777777" w:rsidR="009A2366" w:rsidRPr="009A2366" w:rsidRDefault="009A2366" w:rsidP="009A2366">
                  <w:pPr>
                    <w:spacing w:line="276" w:lineRule="auto"/>
                    <w:ind w:left="720"/>
                    <w:contextualSpacing/>
                    <w:jc w:val="both"/>
                  </w:pPr>
                </w:p>
                <w:p w14:paraId="5CB4FEB3" w14:textId="35B45A9B" w:rsidR="00507AC9" w:rsidRDefault="00D44F04" w:rsidP="00324E02">
                  <w:pPr>
                    <w:shd w:val="clear" w:color="auto" w:fill="FFFFFF"/>
                  </w:pPr>
                  <w:r w:rsidRPr="002A0C91">
                    <w:t>Les dossiers de candidature</w:t>
                  </w:r>
                  <w:r w:rsidR="009A2366" w:rsidRPr="009A2366">
                    <w:t xml:space="preserve"> </w:t>
                  </w:r>
                  <w:r w:rsidR="00507AC9">
                    <w:t xml:space="preserve">doivent être </w:t>
                  </w:r>
                  <w:r w:rsidR="00324E02" w:rsidRPr="00B819BF">
                    <w:t xml:space="preserve">envoyés par message électronique </w:t>
                  </w:r>
                  <w:r w:rsidR="00324E02" w:rsidRPr="002A0C91">
                    <w:t xml:space="preserve">au plus tard </w:t>
                  </w:r>
                  <w:r w:rsidR="00324E02" w:rsidRPr="009A2366">
                    <w:t xml:space="preserve">le </w:t>
                  </w:r>
                  <w:r w:rsidR="004463D4" w:rsidRPr="004463D4">
                    <w:rPr>
                      <w:b/>
                      <w:bCs/>
                    </w:rPr>
                    <w:t>20</w:t>
                  </w:r>
                  <w:r w:rsidR="00736E7E" w:rsidRPr="00736E7E">
                    <w:t xml:space="preserve"> </w:t>
                  </w:r>
                  <w:r w:rsidR="00C260AB" w:rsidRPr="00736E7E">
                    <w:rPr>
                      <w:b/>
                      <w:u w:val="single"/>
                    </w:rPr>
                    <w:t>mai</w:t>
                  </w:r>
                  <w:r w:rsidR="00324E02" w:rsidRPr="00736E7E">
                    <w:rPr>
                      <w:b/>
                      <w:u w:val="single"/>
                    </w:rPr>
                    <w:t xml:space="preserve"> 20</w:t>
                  </w:r>
                  <w:r w:rsidR="00C260AB" w:rsidRPr="00736E7E">
                    <w:rPr>
                      <w:b/>
                      <w:u w:val="single"/>
                    </w:rPr>
                    <w:t>22</w:t>
                  </w:r>
                  <w:r w:rsidR="00324E02">
                    <w:rPr>
                      <w:b/>
                      <w:u w:val="single"/>
                    </w:rPr>
                    <w:t xml:space="preserve"> </w:t>
                  </w:r>
                  <w:r w:rsidR="00324E02" w:rsidRPr="00B819BF">
                    <w:t>à</w:t>
                  </w:r>
                  <w:r w:rsidR="00324E02">
                    <w:t xml:space="preserve"> l’adresse électronique suivante</w:t>
                  </w:r>
                  <w:r w:rsidR="00324E02" w:rsidRPr="00B819BF">
                    <w:t xml:space="preserve"> : </w:t>
                  </w:r>
                  <w:hyperlink r:id="rId10" w:history="1">
                    <w:r w:rsidR="00395EA0" w:rsidRPr="00FD2667">
                      <w:rPr>
                        <w:rStyle w:val="Lienhypertexte"/>
                      </w:rPr>
                      <w:t>recrutcsrp.pescao2022@spcsrp.org</w:t>
                    </w:r>
                  </w:hyperlink>
                  <w:r w:rsidR="0005309B">
                    <w:rPr>
                      <w:rStyle w:val="Lienhypertexte"/>
                    </w:rPr>
                    <w:t xml:space="preserve"> ou</w:t>
                  </w:r>
                  <w:r w:rsidR="00324E02">
                    <w:t xml:space="preserve">  s</w:t>
                  </w:r>
                  <w:r w:rsidR="00324E02" w:rsidRPr="00B819BF">
                    <w:t>ous pli fermé portant la mention «</w:t>
                  </w:r>
                  <w:r w:rsidR="00EC6B81" w:rsidRPr="00EC6B81">
                    <w:t>Recrutement d’un Expert SCS, Coordonnateur du programme des observateurs à compétence sous régionale et Chargé du Registre des navires et, du VMS sous régional</w:t>
                  </w:r>
                  <w:r w:rsidR="00736E7E">
                    <w:t> » à</w:t>
                  </w:r>
                  <w:r w:rsidR="00324E02" w:rsidRPr="00B819BF">
                    <w:t xml:space="preserve"> l’adresse du Secrétariat Permanent ci-</w:t>
                  </w:r>
                  <w:r w:rsidR="00324E02">
                    <w:t xml:space="preserve"> après : CSRP, </w:t>
                  </w:r>
                  <w:r w:rsidR="00324E02" w:rsidRPr="00324E02">
                    <w:t xml:space="preserve">Allées Khalifa </w:t>
                  </w:r>
                  <w:proofErr w:type="spellStart"/>
                  <w:r w:rsidR="00324E02" w:rsidRPr="00324E02">
                    <w:t>Ababacar</w:t>
                  </w:r>
                  <w:proofErr w:type="spellEnd"/>
                  <w:r w:rsidR="00324E02" w:rsidRPr="00324E02">
                    <w:t xml:space="preserve"> Sy  N° 5218 Sicap Liberté IV – Dakar</w:t>
                  </w:r>
                  <w:r w:rsidR="00324E02">
                    <w:t>.</w:t>
                  </w:r>
                </w:p>
                <w:p w14:paraId="058695AF" w14:textId="77777777" w:rsidR="00643C17" w:rsidRDefault="00643C17" w:rsidP="00507AC9">
                  <w:pPr>
                    <w:spacing w:after="200" w:line="276" w:lineRule="auto"/>
                    <w:jc w:val="both"/>
                  </w:pPr>
                </w:p>
                <w:p w14:paraId="5F730CDD" w14:textId="2217A9C7" w:rsidR="00507AC9" w:rsidRPr="00672A61" w:rsidRDefault="00324E02" w:rsidP="00507AC9">
                  <w:pPr>
                    <w:spacing w:after="200" w:line="276" w:lineRule="auto"/>
                    <w:jc w:val="both"/>
                  </w:pPr>
                  <w:r>
                    <w:t xml:space="preserve">Seuls les </w:t>
                  </w:r>
                  <w:r w:rsidR="00B819BF" w:rsidRPr="00B819BF">
                    <w:t xml:space="preserve">candidats présélectionnés seront convoqués aux entretiens prévus au Siège abritant le Secrétariat Permanent et la personne retenue devra être disponible </w:t>
                  </w:r>
                  <w:r w:rsidR="00507AC9">
                    <w:t xml:space="preserve">en </w:t>
                  </w:r>
                  <w:r w:rsidR="00F83361" w:rsidRPr="00F83361">
                    <w:rPr>
                      <w:b/>
                      <w:bCs/>
                    </w:rPr>
                    <w:t>fin mai</w:t>
                  </w:r>
                  <w:r w:rsidR="00507AC9" w:rsidRPr="00324E02">
                    <w:rPr>
                      <w:b/>
                    </w:rPr>
                    <w:t xml:space="preserve"> 20</w:t>
                  </w:r>
                  <w:r w:rsidR="009B5CFC">
                    <w:rPr>
                      <w:b/>
                    </w:rPr>
                    <w:t>22</w:t>
                  </w:r>
                  <w:r w:rsidR="00507AC9">
                    <w:t>.</w:t>
                  </w:r>
                </w:p>
                <w:p w14:paraId="79570334" w14:textId="3151C1E0" w:rsidR="006C3CE4" w:rsidRPr="00672A61" w:rsidRDefault="006C3CE4" w:rsidP="009A2366"/>
              </w:tc>
            </w:tr>
            <w:tr w:rsidR="006C3CE4" w:rsidRPr="006C3CE4" w14:paraId="0781B15A" w14:textId="77777777" w:rsidTr="00177662">
              <w:trPr>
                <w:tblCellSpacing w:w="15" w:type="dxa"/>
              </w:trPr>
              <w:tc>
                <w:tcPr>
                  <w:tcW w:w="0" w:type="auto"/>
                  <w:gridSpan w:val="2"/>
                  <w:vAlign w:val="center"/>
                  <w:hideMark/>
                </w:tcPr>
                <w:p w14:paraId="443D8770" w14:textId="77777777" w:rsidR="006C3CE4" w:rsidRPr="006C3CE4" w:rsidRDefault="006C3CE4" w:rsidP="006C3CE4"/>
              </w:tc>
            </w:tr>
          </w:tbl>
          <w:p w14:paraId="157D7F1F" w14:textId="77777777" w:rsidR="006C3CE4" w:rsidRPr="006C3CE4" w:rsidRDefault="006C3CE4" w:rsidP="006C3CE4"/>
        </w:tc>
      </w:tr>
    </w:tbl>
    <w:p w14:paraId="4DC01194" w14:textId="77777777" w:rsidR="00266F25" w:rsidRDefault="00266F25"/>
    <w:sectPr w:rsidR="00266F25" w:rsidSect="00643C17">
      <w:headerReference w:type="default" r:id="rId11"/>
      <w:footerReference w:type="even" r:id="rId12"/>
      <w:footerReference w:type="default" r:id="rId13"/>
      <w:pgSz w:w="11906" w:h="16838"/>
      <w:pgMar w:top="983" w:right="1417" w:bottom="10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3273" w14:textId="77777777" w:rsidR="008E1941" w:rsidRDefault="008E1941" w:rsidP="00226176">
      <w:r>
        <w:separator/>
      </w:r>
    </w:p>
  </w:endnote>
  <w:endnote w:type="continuationSeparator" w:id="0">
    <w:p w14:paraId="1F6DE391" w14:textId="77777777" w:rsidR="008E1941" w:rsidRDefault="008E1941" w:rsidP="0022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15844478"/>
      <w:docPartObj>
        <w:docPartGallery w:val="Page Numbers (Bottom of Page)"/>
        <w:docPartUnique/>
      </w:docPartObj>
    </w:sdtPr>
    <w:sdtEndPr>
      <w:rPr>
        <w:rStyle w:val="Numrodepage"/>
      </w:rPr>
    </w:sdtEndPr>
    <w:sdtContent>
      <w:p w14:paraId="6770975D" w14:textId="6E4997C7" w:rsidR="00C260AB" w:rsidRDefault="00C260AB" w:rsidP="00FD266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D1717E1" w14:textId="77777777" w:rsidR="00C260AB" w:rsidRDefault="00C260AB" w:rsidP="00C260A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49243367"/>
      <w:docPartObj>
        <w:docPartGallery w:val="Page Numbers (Bottom of Page)"/>
        <w:docPartUnique/>
      </w:docPartObj>
    </w:sdtPr>
    <w:sdtEndPr>
      <w:rPr>
        <w:rStyle w:val="Numrodepage"/>
      </w:rPr>
    </w:sdtEndPr>
    <w:sdtContent>
      <w:p w14:paraId="628AF5A6" w14:textId="39284EE4" w:rsidR="00C260AB" w:rsidRDefault="00C260AB" w:rsidP="00FD266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2209DF">
          <w:rPr>
            <w:rStyle w:val="Numrodepage"/>
            <w:noProof/>
          </w:rPr>
          <w:t>5</w:t>
        </w:r>
        <w:r>
          <w:rPr>
            <w:rStyle w:val="Numrodepage"/>
          </w:rPr>
          <w:fldChar w:fldCharType="end"/>
        </w:r>
      </w:p>
    </w:sdtContent>
  </w:sdt>
  <w:p w14:paraId="6D098577" w14:textId="77777777" w:rsidR="00C260AB" w:rsidRDefault="00C260AB" w:rsidP="00C260A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DD03" w14:textId="77777777" w:rsidR="008E1941" w:rsidRDefault="008E1941" w:rsidP="00226176">
      <w:r>
        <w:separator/>
      </w:r>
    </w:p>
  </w:footnote>
  <w:footnote w:type="continuationSeparator" w:id="0">
    <w:p w14:paraId="54C64E72" w14:textId="77777777" w:rsidR="008E1941" w:rsidRDefault="008E1941" w:rsidP="00226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44AD" w14:textId="48266045" w:rsidR="009C7EDB" w:rsidRDefault="009C7EDB">
    <w:pPr>
      <w:pStyle w:val="En-tte"/>
      <w:ind w:left="-864"/>
    </w:pPr>
  </w:p>
  <w:p w14:paraId="07213A6A" w14:textId="77777777" w:rsidR="009C7EDB" w:rsidRDefault="009C7E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708"/>
    <w:multiLevelType w:val="hybridMultilevel"/>
    <w:tmpl w:val="0B38AC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F5101B"/>
    <w:multiLevelType w:val="multilevel"/>
    <w:tmpl w:val="06A063A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D54E6"/>
    <w:multiLevelType w:val="hybridMultilevel"/>
    <w:tmpl w:val="6540BC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8547B53"/>
    <w:multiLevelType w:val="multilevel"/>
    <w:tmpl w:val="EF22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47643"/>
    <w:multiLevelType w:val="multilevel"/>
    <w:tmpl w:val="8972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46863"/>
    <w:multiLevelType w:val="multilevel"/>
    <w:tmpl w:val="BEB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3E5144"/>
    <w:multiLevelType w:val="hybridMultilevel"/>
    <w:tmpl w:val="AF74698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26206F3"/>
    <w:multiLevelType w:val="multilevel"/>
    <w:tmpl w:val="8078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E86276"/>
    <w:multiLevelType w:val="multilevel"/>
    <w:tmpl w:val="2E34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996623"/>
    <w:multiLevelType w:val="hybridMultilevel"/>
    <w:tmpl w:val="133C3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3B08F7"/>
    <w:multiLevelType w:val="multilevel"/>
    <w:tmpl w:val="246A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E5158"/>
    <w:multiLevelType w:val="multilevel"/>
    <w:tmpl w:val="AD6E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8D5AAE"/>
    <w:multiLevelType w:val="multilevel"/>
    <w:tmpl w:val="37CC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BB1821"/>
    <w:multiLevelType w:val="multilevel"/>
    <w:tmpl w:val="AA04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D505B5"/>
    <w:multiLevelType w:val="multilevel"/>
    <w:tmpl w:val="2AA2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0D0FE5"/>
    <w:multiLevelType w:val="hybridMultilevel"/>
    <w:tmpl w:val="019054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D045F94"/>
    <w:multiLevelType w:val="multilevel"/>
    <w:tmpl w:val="0096F1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F065B90"/>
    <w:multiLevelType w:val="multilevel"/>
    <w:tmpl w:val="DDBA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041424"/>
    <w:multiLevelType w:val="hybridMultilevel"/>
    <w:tmpl w:val="4D7C21F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60764B75"/>
    <w:multiLevelType w:val="hybridMultilevel"/>
    <w:tmpl w:val="7FF8BB1E"/>
    <w:lvl w:ilvl="0" w:tplc="097C251C">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08B09BE"/>
    <w:multiLevelType w:val="multilevel"/>
    <w:tmpl w:val="F99C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622809"/>
    <w:multiLevelType w:val="multilevel"/>
    <w:tmpl w:val="3A44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230045"/>
    <w:multiLevelType w:val="multilevel"/>
    <w:tmpl w:val="1C62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902F93"/>
    <w:multiLevelType w:val="multilevel"/>
    <w:tmpl w:val="B60E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4C0914"/>
    <w:multiLevelType w:val="multilevel"/>
    <w:tmpl w:val="ED6A87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D6E4336"/>
    <w:multiLevelType w:val="hybridMultilevel"/>
    <w:tmpl w:val="1B6409C4"/>
    <w:lvl w:ilvl="0" w:tplc="DE24B40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A43074"/>
    <w:multiLevelType w:val="multilevel"/>
    <w:tmpl w:val="F85C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1457219">
    <w:abstractNumId w:val="24"/>
  </w:num>
  <w:num w:numId="2" w16cid:durableId="116410035">
    <w:abstractNumId w:val="16"/>
  </w:num>
  <w:num w:numId="3" w16cid:durableId="1902787493">
    <w:abstractNumId w:val="21"/>
  </w:num>
  <w:num w:numId="4" w16cid:durableId="1893614194">
    <w:abstractNumId w:val="13"/>
  </w:num>
  <w:num w:numId="5" w16cid:durableId="577129844">
    <w:abstractNumId w:val="8"/>
  </w:num>
  <w:num w:numId="6" w16cid:durableId="271673858">
    <w:abstractNumId w:val="12"/>
  </w:num>
  <w:num w:numId="7" w16cid:durableId="509218426">
    <w:abstractNumId w:val="4"/>
  </w:num>
  <w:num w:numId="8" w16cid:durableId="410202099">
    <w:abstractNumId w:val="17"/>
  </w:num>
  <w:num w:numId="9" w16cid:durableId="141167304">
    <w:abstractNumId w:val="10"/>
  </w:num>
  <w:num w:numId="10" w16cid:durableId="1091857650">
    <w:abstractNumId w:val="26"/>
  </w:num>
  <w:num w:numId="11" w16cid:durableId="1343557368">
    <w:abstractNumId w:val="23"/>
  </w:num>
  <w:num w:numId="12" w16cid:durableId="591938560">
    <w:abstractNumId w:val="22"/>
  </w:num>
  <w:num w:numId="13" w16cid:durableId="1476098229">
    <w:abstractNumId w:val="3"/>
  </w:num>
  <w:num w:numId="14" w16cid:durableId="2040660420">
    <w:abstractNumId w:val="14"/>
  </w:num>
  <w:num w:numId="15" w16cid:durableId="1229225961">
    <w:abstractNumId w:val="7"/>
  </w:num>
  <w:num w:numId="16" w16cid:durableId="1520044699">
    <w:abstractNumId w:val="20"/>
  </w:num>
  <w:num w:numId="17" w16cid:durableId="260994218">
    <w:abstractNumId w:val="15"/>
  </w:num>
  <w:num w:numId="18" w16cid:durableId="553196520">
    <w:abstractNumId w:val="0"/>
  </w:num>
  <w:num w:numId="19" w16cid:durableId="47732662">
    <w:abstractNumId w:val="19"/>
  </w:num>
  <w:num w:numId="20" w16cid:durableId="809713574">
    <w:abstractNumId w:val="9"/>
  </w:num>
  <w:num w:numId="21" w16cid:durableId="808089375">
    <w:abstractNumId w:val="18"/>
  </w:num>
  <w:num w:numId="22" w16cid:durableId="247085654">
    <w:abstractNumId w:val="25"/>
  </w:num>
  <w:num w:numId="23" w16cid:durableId="818770373">
    <w:abstractNumId w:val="2"/>
  </w:num>
  <w:num w:numId="24" w16cid:durableId="1401369523">
    <w:abstractNumId w:val="11"/>
  </w:num>
  <w:num w:numId="25" w16cid:durableId="240677521">
    <w:abstractNumId w:val="1"/>
  </w:num>
  <w:num w:numId="26" w16cid:durableId="1537815846">
    <w:abstractNumId w:val="6"/>
  </w:num>
  <w:num w:numId="27" w16cid:durableId="322698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CE4"/>
    <w:rsid w:val="00017824"/>
    <w:rsid w:val="000257C9"/>
    <w:rsid w:val="000514B4"/>
    <w:rsid w:val="0005309B"/>
    <w:rsid w:val="00057B79"/>
    <w:rsid w:val="00074C20"/>
    <w:rsid w:val="000843B4"/>
    <w:rsid w:val="00084645"/>
    <w:rsid w:val="00094994"/>
    <w:rsid w:val="00095BD5"/>
    <w:rsid w:val="000A7402"/>
    <w:rsid w:val="000B4A7E"/>
    <w:rsid w:val="000B5BAE"/>
    <w:rsid w:val="000C7526"/>
    <w:rsid w:val="000D1E68"/>
    <w:rsid w:val="000E0521"/>
    <w:rsid w:val="000F3794"/>
    <w:rsid w:val="0010748D"/>
    <w:rsid w:val="00113D3C"/>
    <w:rsid w:val="0012067C"/>
    <w:rsid w:val="001643AD"/>
    <w:rsid w:val="00175521"/>
    <w:rsid w:val="00177662"/>
    <w:rsid w:val="0019059C"/>
    <w:rsid w:val="001922BC"/>
    <w:rsid w:val="00197FB3"/>
    <w:rsid w:val="001B2363"/>
    <w:rsid w:val="001D5CF7"/>
    <w:rsid w:val="001F23EB"/>
    <w:rsid w:val="002048E9"/>
    <w:rsid w:val="002049A4"/>
    <w:rsid w:val="00205619"/>
    <w:rsid w:val="0020771C"/>
    <w:rsid w:val="00214099"/>
    <w:rsid w:val="002209DF"/>
    <w:rsid w:val="00226176"/>
    <w:rsid w:val="00226976"/>
    <w:rsid w:val="00233A46"/>
    <w:rsid w:val="00246203"/>
    <w:rsid w:val="00250022"/>
    <w:rsid w:val="00266F25"/>
    <w:rsid w:val="0027043A"/>
    <w:rsid w:val="00282962"/>
    <w:rsid w:val="0028614D"/>
    <w:rsid w:val="002A0C91"/>
    <w:rsid w:val="002B2871"/>
    <w:rsid w:val="002C46A7"/>
    <w:rsid w:val="002C67D2"/>
    <w:rsid w:val="002C6B8C"/>
    <w:rsid w:val="002D4B79"/>
    <w:rsid w:val="002D6CFE"/>
    <w:rsid w:val="002E3A61"/>
    <w:rsid w:val="002F6B7F"/>
    <w:rsid w:val="00324E02"/>
    <w:rsid w:val="00340A59"/>
    <w:rsid w:val="003461EF"/>
    <w:rsid w:val="00350B61"/>
    <w:rsid w:val="00357339"/>
    <w:rsid w:val="00395EA0"/>
    <w:rsid w:val="003C3108"/>
    <w:rsid w:val="003D39DE"/>
    <w:rsid w:val="003F6739"/>
    <w:rsid w:val="00427AAE"/>
    <w:rsid w:val="004463D4"/>
    <w:rsid w:val="00464C38"/>
    <w:rsid w:val="00490D94"/>
    <w:rsid w:val="004A67C6"/>
    <w:rsid w:val="004B6FA0"/>
    <w:rsid w:val="004C4E54"/>
    <w:rsid w:val="004D4037"/>
    <w:rsid w:val="004E0E2F"/>
    <w:rsid w:val="00500A37"/>
    <w:rsid w:val="0050584F"/>
    <w:rsid w:val="005074DA"/>
    <w:rsid w:val="00507AC9"/>
    <w:rsid w:val="00510598"/>
    <w:rsid w:val="0051534B"/>
    <w:rsid w:val="0051556C"/>
    <w:rsid w:val="00520098"/>
    <w:rsid w:val="00526C62"/>
    <w:rsid w:val="00543598"/>
    <w:rsid w:val="005749FF"/>
    <w:rsid w:val="00582E8C"/>
    <w:rsid w:val="00586FB5"/>
    <w:rsid w:val="005929B9"/>
    <w:rsid w:val="005B57DB"/>
    <w:rsid w:val="005C426A"/>
    <w:rsid w:val="005D203A"/>
    <w:rsid w:val="005E1925"/>
    <w:rsid w:val="005F049A"/>
    <w:rsid w:val="00603F9E"/>
    <w:rsid w:val="006073B8"/>
    <w:rsid w:val="00625564"/>
    <w:rsid w:val="006273CB"/>
    <w:rsid w:val="00643C17"/>
    <w:rsid w:val="006479BF"/>
    <w:rsid w:val="00647AF6"/>
    <w:rsid w:val="006501F6"/>
    <w:rsid w:val="00672A61"/>
    <w:rsid w:val="00684ABA"/>
    <w:rsid w:val="0069168C"/>
    <w:rsid w:val="006947D4"/>
    <w:rsid w:val="006A123A"/>
    <w:rsid w:val="006C3CE4"/>
    <w:rsid w:val="006D4BFB"/>
    <w:rsid w:val="006E7045"/>
    <w:rsid w:val="006F0A69"/>
    <w:rsid w:val="00705C9D"/>
    <w:rsid w:val="00715257"/>
    <w:rsid w:val="00727700"/>
    <w:rsid w:val="00736E7E"/>
    <w:rsid w:val="00767468"/>
    <w:rsid w:val="00776429"/>
    <w:rsid w:val="007772AE"/>
    <w:rsid w:val="00796C7A"/>
    <w:rsid w:val="00796E9D"/>
    <w:rsid w:val="007A4744"/>
    <w:rsid w:val="007A4F29"/>
    <w:rsid w:val="007E0DC9"/>
    <w:rsid w:val="00801595"/>
    <w:rsid w:val="008026E6"/>
    <w:rsid w:val="00836E4C"/>
    <w:rsid w:val="00884AD0"/>
    <w:rsid w:val="0088649F"/>
    <w:rsid w:val="00886C4A"/>
    <w:rsid w:val="008B6E11"/>
    <w:rsid w:val="008E1941"/>
    <w:rsid w:val="008E71B2"/>
    <w:rsid w:val="008F190C"/>
    <w:rsid w:val="008F535C"/>
    <w:rsid w:val="00900D2A"/>
    <w:rsid w:val="00914D88"/>
    <w:rsid w:val="0092561D"/>
    <w:rsid w:val="00960A4A"/>
    <w:rsid w:val="00996EFA"/>
    <w:rsid w:val="009A0C82"/>
    <w:rsid w:val="009A2366"/>
    <w:rsid w:val="009B2896"/>
    <w:rsid w:val="009B5CFC"/>
    <w:rsid w:val="009C7EDB"/>
    <w:rsid w:val="009D31F3"/>
    <w:rsid w:val="009D4D16"/>
    <w:rsid w:val="009E15A8"/>
    <w:rsid w:val="009E4B74"/>
    <w:rsid w:val="00A063C0"/>
    <w:rsid w:val="00A107A8"/>
    <w:rsid w:val="00A17ED4"/>
    <w:rsid w:val="00A22146"/>
    <w:rsid w:val="00A24AA0"/>
    <w:rsid w:val="00A24E32"/>
    <w:rsid w:val="00A4183C"/>
    <w:rsid w:val="00A431F0"/>
    <w:rsid w:val="00A656B3"/>
    <w:rsid w:val="00A75E23"/>
    <w:rsid w:val="00AC071D"/>
    <w:rsid w:val="00AC7A04"/>
    <w:rsid w:val="00AD303B"/>
    <w:rsid w:val="00AF1B9D"/>
    <w:rsid w:val="00B121A6"/>
    <w:rsid w:val="00B12507"/>
    <w:rsid w:val="00B17ACF"/>
    <w:rsid w:val="00B21641"/>
    <w:rsid w:val="00B41047"/>
    <w:rsid w:val="00B515D2"/>
    <w:rsid w:val="00B7616E"/>
    <w:rsid w:val="00B819BF"/>
    <w:rsid w:val="00B81B92"/>
    <w:rsid w:val="00B8750D"/>
    <w:rsid w:val="00BA7DB2"/>
    <w:rsid w:val="00BC1892"/>
    <w:rsid w:val="00BE48FC"/>
    <w:rsid w:val="00BF5AF8"/>
    <w:rsid w:val="00BF746D"/>
    <w:rsid w:val="00C12D75"/>
    <w:rsid w:val="00C260AB"/>
    <w:rsid w:val="00C31705"/>
    <w:rsid w:val="00C33511"/>
    <w:rsid w:val="00C403BD"/>
    <w:rsid w:val="00C53EE8"/>
    <w:rsid w:val="00C9232B"/>
    <w:rsid w:val="00CA4084"/>
    <w:rsid w:val="00CB2C1A"/>
    <w:rsid w:val="00CD79C7"/>
    <w:rsid w:val="00D03FDE"/>
    <w:rsid w:val="00D16C38"/>
    <w:rsid w:val="00D2475B"/>
    <w:rsid w:val="00D25D58"/>
    <w:rsid w:val="00D32D0F"/>
    <w:rsid w:val="00D44F04"/>
    <w:rsid w:val="00D507A7"/>
    <w:rsid w:val="00D73F91"/>
    <w:rsid w:val="00DB16DE"/>
    <w:rsid w:val="00DB74D9"/>
    <w:rsid w:val="00DF2636"/>
    <w:rsid w:val="00E35C74"/>
    <w:rsid w:val="00E37467"/>
    <w:rsid w:val="00E44EB8"/>
    <w:rsid w:val="00E52684"/>
    <w:rsid w:val="00E54502"/>
    <w:rsid w:val="00E554AC"/>
    <w:rsid w:val="00E65C57"/>
    <w:rsid w:val="00E815CA"/>
    <w:rsid w:val="00E84846"/>
    <w:rsid w:val="00E90FCA"/>
    <w:rsid w:val="00EC42DA"/>
    <w:rsid w:val="00EC6B81"/>
    <w:rsid w:val="00ED2149"/>
    <w:rsid w:val="00ED769D"/>
    <w:rsid w:val="00EE7461"/>
    <w:rsid w:val="00EF1F6D"/>
    <w:rsid w:val="00EF4698"/>
    <w:rsid w:val="00F47F56"/>
    <w:rsid w:val="00F83361"/>
    <w:rsid w:val="00F877C2"/>
    <w:rsid w:val="00F911D3"/>
    <w:rsid w:val="00FB0E14"/>
    <w:rsid w:val="00FB6AF6"/>
    <w:rsid w:val="00FD41F0"/>
    <w:rsid w:val="00FF18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38162"/>
  <w15:chartTrackingRefBased/>
  <w15:docId w15:val="{CB96F0E1-EB35-4DDD-99AA-C87BE4AC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CF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6C62"/>
    <w:pPr>
      <w:ind w:left="720"/>
      <w:contextualSpacing/>
    </w:pPr>
  </w:style>
  <w:style w:type="character" w:styleId="Marquedecommentaire">
    <w:name w:val="annotation reference"/>
    <w:basedOn w:val="Policepardfaut"/>
    <w:uiPriority w:val="99"/>
    <w:semiHidden/>
    <w:unhideWhenUsed/>
    <w:rsid w:val="00C9232B"/>
    <w:rPr>
      <w:sz w:val="16"/>
      <w:szCs w:val="16"/>
    </w:rPr>
  </w:style>
  <w:style w:type="paragraph" w:styleId="Commentaire">
    <w:name w:val="annotation text"/>
    <w:basedOn w:val="Normal"/>
    <w:link w:val="CommentaireCar"/>
    <w:uiPriority w:val="99"/>
    <w:semiHidden/>
    <w:unhideWhenUsed/>
    <w:rsid w:val="00C9232B"/>
    <w:rPr>
      <w:sz w:val="20"/>
      <w:szCs w:val="20"/>
    </w:rPr>
  </w:style>
  <w:style w:type="character" w:customStyle="1" w:styleId="CommentaireCar">
    <w:name w:val="Commentaire Car"/>
    <w:basedOn w:val="Policepardfaut"/>
    <w:link w:val="Commentaire"/>
    <w:uiPriority w:val="99"/>
    <w:semiHidden/>
    <w:rsid w:val="00C9232B"/>
    <w:rPr>
      <w:sz w:val="20"/>
      <w:szCs w:val="20"/>
    </w:rPr>
  </w:style>
  <w:style w:type="paragraph" w:styleId="Objetducommentaire">
    <w:name w:val="annotation subject"/>
    <w:basedOn w:val="Commentaire"/>
    <w:next w:val="Commentaire"/>
    <w:link w:val="ObjetducommentaireCar"/>
    <w:uiPriority w:val="99"/>
    <w:semiHidden/>
    <w:unhideWhenUsed/>
    <w:rsid w:val="00C9232B"/>
    <w:rPr>
      <w:b/>
      <w:bCs/>
    </w:rPr>
  </w:style>
  <w:style w:type="character" w:customStyle="1" w:styleId="ObjetducommentaireCar">
    <w:name w:val="Objet du commentaire Car"/>
    <w:basedOn w:val="CommentaireCar"/>
    <w:link w:val="Objetducommentaire"/>
    <w:uiPriority w:val="99"/>
    <w:semiHidden/>
    <w:rsid w:val="00C9232B"/>
    <w:rPr>
      <w:b/>
      <w:bCs/>
      <w:sz w:val="20"/>
      <w:szCs w:val="20"/>
    </w:rPr>
  </w:style>
  <w:style w:type="paragraph" w:styleId="Textedebulles">
    <w:name w:val="Balloon Text"/>
    <w:basedOn w:val="Normal"/>
    <w:link w:val="TextedebullesCar"/>
    <w:uiPriority w:val="99"/>
    <w:semiHidden/>
    <w:unhideWhenUsed/>
    <w:rsid w:val="00C9232B"/>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232B"/>
    <w:rPr>
      <w:rFonts w:ascii="Segoe UI" w:hAnsi="Segoe UI" w:cs="Segoe UI"/>
      <w:sz w:val="18"/>
      <w:szCs w:val="18"/>
    </w:rPr>
  </w:style>
  <w:style w:type="paragraph" w:styleId="Notedebasdepage">
    <w:name w:val="footnote text"/>
    <w:basedOn w:val="Normal"/>
    <w:link w:val="NotedebasdepageCar"/>
    <w:uiPriority w:val="99"/>
    <w:semiHidden/>
    <w:unhideWhenUsed/>
    <w:rsid w:val="00226176"/>
    <w:rPr>
      <w:sz w:val="20"/>
      <w:szCs w:val="20"/>
    </w:rPr>
  </w:style>
  <w:style w:type="character" w:customStyle="1" w:styleId="NotedebasdepageCar">
    <w:name w:val="Note de bas de page Car"/>
    <w:basedOn w:val="Policepardfaut"/>
    <w:link w:val="Notedebasdepage"/>
    <w:uiPriority w:val="99"/>
    <w:semiHidden/>
    <w:rsid w:val="00226176"/>
    <w:rPr>
      <w:sz w:val="20"/>
      <w:szCs w:val="20"/>
    </w:rPr>
  </w:style>
  <w:style w:type="character" w:styleId="Appelnotedebasdep">
    <w:name w:val="footnote reference"/>
    <w:aliases w:val=" BVI fnr,BVI fnr, BVI fnr Car Car,BVI fnr Car, BVI fnr Car Car Car Car, BVI fnr Car Car Car Car Char,ftref,ftref Char,BVI fnr Char,BVI fnr Car Char,Char Char Car Char,16 Point Char"/>
    <w:rsid w:val="00226176"/>
    <w:rPr>
      <w:sz w:val="24"/>
      <w:vertAlign w:val="superscript"/>
      <w:lang w:val="en-US"/>
    </w:rPr>
  </w:style>
  <w:style w:type="paragraph" w:styleId="En-tte">
    <w:name w:val="header"/>
    <w:basedOn w:val="Normal"/>
    <w:link w:val="En-tteCar"/>
    <w:uiPriority w:val="99"/>
    <w:unhideWhenUsed/>
    <w:rsid w:val="009C7EDB"/>
    <w:pPr>
      <w:tabs>
        <w:tab w:val="center" w:pos="4536"/>
        <w:tab w:val="right" w:pos="9072"/>
      </w:tabs>
    </w:pPr>
  </w:style>
  <w:style w:type="character" w:customStyle="1" w:styleId="En-tteCar">
    <w:name w:val="En-tête Car"/>
    <w:basedOn w:val="Policepardfaut"/>
    <w:link w:val="En-tte"/>
    <w:uiPriority w:val="99"/>
    <w:rsid w:val="009C7EDB"/>
  </w:style>
  <w:style w:type="paragraph" w:styleId="Pieddepage">
    <w:name w:val="footer"/>
    <w:basedOn w:val="Normal"/>
    <w:link w:val="PieddepageCar"/>
    <w:uiPriority w:val="99"/>
    <w:unhideWhenUsed/>
    <w:rsid w:val="009C7EDB"/>
    <w:pPr>
      <w:tabs>
        <w:tab w:val="center" w:pos="4536"/>
        <w:tab w:val="right" w:pos="9072"/>
      </w:tabs>
    </w:pPr>
  </w:style>
  <w:style w:type="character" w:customStyle="1" w:styleId="PieddepageCar">
    <w:name w:val="Pied de page Car"/>
    <w:basedOn w:val="Policepardfaut"/>
    <w:link w:val="Pieddepage"/>
    <w:uiPriority w:val="99"/>
    <w:rsid w:val="009C7EDB"/>
  </w:style>
  <w:style w:type="table" w:styleId="Grilledutableau">
    <w:name w:val="Table Grid"/>
    <w:basedOn w:val="TableauNormal"/>
    <w:uiPriority w:val="39"/>
    <w:rsid w:val="004C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24E02"/>
    <w:rPr>
      <w:color w:val="0563C1" w:themeColor="hyperlink"/>
      <w:u w:val="single"/>
    </w:rPr>
  </w:style>
  <w:style w:type="character" w:customStyle="1" w:styleId="Mentionnonrsolue1">
    <w:name w:val="Mention non résolue1"/>
    <w:basedOn w:val="Policepardfaut"/>
    <w:uiPriority w:val="99"/>
    <w:semiHidden/>
    <w:unhideWhenUsed/>
    <w:rsid w:val="00AD303B"/>
    <w:rPr>
      <w:color w:val="605E5C"/>
      <w:shd w:val="clear" w:color="auto" w:fill="E1DFDD"/>
    </w:rPr>
  </w:style>
  <w:style w:type="paragraph" w:styleId="NormalWeb">
    <w:name w:val="Normal (Web)"/>
    <w:basedOn w:val="Normal"/>
    <w:uiPriority w:val="99"/>
    <w:unhideWhenUsed/>
    <w:rsid w:val="00C53EE8"/>
    <w:pPr>
      <w:spacing w:before="100" w:beforeAutospacing="1" w:after="100" w:afterAutospacing="1"/>
    </w:pPr>
  </w:style>
  <w:style w:type="character" w:styleId="Numrodepage">
    <w:name w:val="page number"/>
    <w:basedOn w:val="Policepardfaut"/>
    <w:uiPriority w:val="99"/>
    <w:semiHidden/>
    <w:unhideWhenUsed/>
    <w:rsid w:val="00C260AB"/>
  </w:style>
  <w:style w:type="paragraph" w:customStyle="1" w:styleId="font8">
    <w:name w:val="font_8"/>
    <w:basedOn w:val="Normal"/>
    <w:rsid w:val="00643C17"/>
    <w:pPr>
      <w:spacing w:before="100" w:beforeAutospacing="1" w:after="100" w:afterAutospacing="1"/>
    </w:pPr>
  </w:style>
  <w:style w:type="paragraph" w:styleId="Rvision">
    <w:name w:val="Revision"/>
    <w:hidden/>
    <w:uiPriority w:val="99"/>
    <w:semiHidden/>
    <w:rsid w:val="001B2363"/>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6189">
      <w:bodyDiv w:val="1"/>
      <w:marLeft w:val="0"/>
      <w:marRight w:val="0"/>
      <w:marTop w:val="0"/>
      <w:marBottom w:val="0"/>
      <w:divBdr>
        <w:top w:val="none" w:sz="0" w:space="0" w:color="auto"/>
        <w:left w:val="none" w:sz="0" w:space="0" w:color="auto"/>
        <w:bottom w:val="none" w:sz="0" w:space="0" w:color="auto"/>
        <w:right w:val="none" w:sz="0" w:space="0" w:color="auto"/>
      </w:divBdr>
    </w:div>
    <w:div w:id="254827706">
      <w:bodyDiv w:val="1"/>
      <w:marLeft w:val="0"/>
      <w:marRight w:val="0"/>
      <w:marTop w:val="0"/>
      <w:marBottom w:val="0"/>
      <w:divBdr>
        <w:top w:val="none" w:sz="0" w:space="0" w:color="auto"/>
        <w:left w:val="none" w:sz="0" w:space="0" w:color="auto"/>
        <w:bottom w:val="none" w:sz="0" w:space="0" w:color="auto"/>
        <w:right w:val="none" w:sz="0" w:space="0" w:color="auto"/>
      </w:divBdr>
    </w:div>
    <w:div w:id="330446358">
      <w:bodyDiv w:val="1"/>
      <w:marLeft w:val="0"/>
      <w:marRight w:val="0"/>
      <w:marTop w:val="0"/>
      <w:marBottom w:val="0"/>
      <w:divBdr>
        <w:top w:val="none" w:sz="0" w:space="0" w:color="auto"/>
        <w:left w:val="none" w:sz="0" w:space="0" w:color="auto"/>
        <w:bottom w:val="none" w:sz="0" w:space="0" w:color="auto"/>
        <w:right w:val="none" w:sz="0" w:space="0" w:color="auto"/>
      </w:divBdr>
      <w:divsChild>
        <w:div w:id="1330862912">
          <w:marLeft w:val="0"/>
          <w:marRight w:val="0"/>
          <w:marTop w:val="0"/>
          <w:marBottom w:val="0"/>
          <w:divBdr>
            <w:top w:val="none" w:sz="0" w:space="0" w:color="auto"/>
            <w:left w:val="none" w:sz="0" w:space="0" w:color="auto"/>
            <w:bottom w:val="none" w:sz="0" w:space="0" w:color="auto"/>
            <w:right w:val="none" w:sz="0" w:space="0" w:color="auto"/>
          </w:divBdr>
        </w:div>
        <w:div w:id="333458535">
          <w:marLeft w:val="0"/>
          <w:marRight w:val="0"/>
          <w:marTop w:val="0"/>
          <w:marBottom w:val="0"/>
          <w:divBdr>
            <w:top w:val="none" w:sz="0" w:space="0" w:color="auto"/>
            <w:left w:val="none" w:sz="0" w:space="0" w:color="auto"/>
            <w:bottom w:val="none" w:sz="0" w:space="0" w:color="auto"/>
            <w:right w:val="none" w:sz="0" w:space="0" w:color="auto"/>
          </w:divBdr>
          <w:divsChild>
            <w:div w:id="956567364">
              <w:marLeft w:val="0"/>
              <w:marRight w:val="0"/>
              <w:marTop w:val="0"/>
              <w:marBottom w:val="0"/>
              <w:divBdr>
                <w:top w:val="none" w:sz="0" w:space="0" w:color="auto"/>
                <w:left w:val="none" w:sz="0" w:space="0" w:color="auto"/>
                <w:bottom w:val="none" w:sz="0" w:space="0" w:color="auto"/>
                <w:right w:val="none" w:sz="0" w:space="0" w:color="auto"/>
              </w:divBdr>
            </w:div>
            <w:div w:id="972368099">
              <w:marLeft w:val="0"/>
              <w:marRight w:val="0"/>
              <w:marTop w:val="0"/>
              <w:marBottom w:val="0"/>
              <w:divBdr>
                <w:top w:val="none" w:sz="0" w:space="0" w:color="auto"/>
                <w:left w:val="none" w:sz="0" w:space="0" w:color="auto"/>
                <w:bottom w:val="none" w:sz="0" w:space="0" w:color="auto"/>
                <w:right w:val="none" w:sz="0" w:space="0" w:color="auto"/>
              </w:divBdr>
            </w:div>
          </w:divsChild>
        </w:div>
        <w:div w:id="1613243224">
          <w:marLeft w:val="0"/>
          <w:marRight w:val="0"/>
          <w:marTop w:val="0"/>
          <w:marBottom w:val="0"/>
          <w:divBdr>
            <w:top w:val="none" w:sz="0" w:space="0" w:color="auto"/>
            <w:left w:val="none" w:sz="0" w:space="0" w:color="auto"/>
            <w:bottom w:val="none" w:sz="0" w:space="0" w:color="auto"/>
            <w:right w:val="none" w:sz="0" w:space="0" w:color="auto"/>
          </w:divBdr>
          <w:divsChild>
            <w:div w:id="535124243">
              <w:marLeft w:val="0"/>
              <w:marRight w:val="0"/>
              <w:marTop w:val="0"/>
              <w:marBottom w:val="0"/>
              <w:divBdr>
                <w:top w:val="none" w:sz="0" w:space="0" w:color="auto"/>
                <w:left w:val="none" w:sz="0" w:space="0" w:color="auto"/>
                <w:bottom w:val="none" w:sz="0" w:space="0" w:color="auto"/>
                <w:right w:val="none" w:sz="0" w:space="0" w:color="auto"/>
              </w:divBdr>
              <w:divsChild>
                <w:div w:id="1881819694">
                  <w:marLeft w:val="0"/>
                  <w:marRight w:val="0"/>
                  <w:marTop w:val="0"/>
                  <w:marBottom w:val="0"/>
                  <w:divBdr>
                    <w:top w:val="none" w:sz="0" w:space="0" w:color="auto"/>
                    <w:left w:val="none" w:sz="0" w:space="0" w:color="auto"/>
                    <w:bottom w:val="none" w:sz="0" w:space="0" w:color="auto"/>
                    <w:right w:val="none" w:sz="0" w:space="0" w:color="auto"/>
                  </w:divBdr>
                </w:div>
                <w:div w:id="1696347811">
                  <w:marLeft w:val="0"/>
                  <w:marRight w:val="0"/>
                  <w:marTop w:val="0"/>
                  <w:marBottom w:val="0"/>
                  <w:divBdr>
                    <w:top w:val="none" w:sz="0" w:space="0" w:color="auto"/>
                    <w:left w:val="none" w:sz="0" w:space="0" w:color="auto"/>
                    <w:bottom w:val="none" w:sz="0" w:space="0" w:color="auto"/>
                    <w:right w:val="none" w:sz="0" w:space="0" w:color="auto"/>
                  </w:divBdr>
                </w:div>
                <w:div w:id="575552534">
                  <w:marLeft w:val="0"/>
                  <w:marRight w:val="0"/>
                  <w:marTop w:val="0"/>
                  <w:marBottom w:val="0"/>
                  <w:divBdr>
                    <w:top w:val="none" w:sz="0" w:space="0" w:color="auto"/>
                    <w:left w:val="none" w:sz="0" w:space="0" w:color="auto"/>
                    <w:bottom w:val="none" w:sz="0" w:space="0" w:color="auto"/>
                    <w:right w:val="none" w:sz="0" w:space="0" w:color="auto"/>
                  </w:divBdr>
                </w:div>
              </w:divsChild>
            </w:div>
            <w:div w:id="1262448489">
              <w:marLeft w:val="0"/>
              <w:marRight w:val="0"/>
              <w:marTop w:val="0"/>
              <w:marBottom w:val="0"/>
              <w:divBdr>
                <w:top w:val="none" w:sz="0" w:space="0" w:color="auto"/>
                <w:left w:val="none" w:sz="0" w:space="0" w:color="auto"/>
                <w:bottom w:val="none" w:sz="0" w:space="0" w:color="auto"/>
                <w:right w:val="none" w:sz="0" w:space="0" w:color="auto"/>
              </w:divBdr>
            </w:div>
            <w:div w:id="7482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29605">
      <w:bodyDiv w:val="1"/>
      <w:marLeft w:val="0"/>
      <w:marRight w:val="0"/>
      <w:marTop w:val="0"/>
      <w:marBottom w:val="0"/>
      <w:divBdr>
        <w:top w:val="none" w:sz="0" w:space="0" w:color="auto"/>
        <w:left w:val="none" w:sz="0" w:space="0" w:color="auto"/>
        <w:bottom w:val="none" w:sz="0" w:space="0" w:color="auto"/>
        <w:right w:val="none" w:sz="0" w:space="0" w:color="auto"/>
      </w:divBdr>
    </w:div>
    <w:div w:id="74777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tcsrp.pescao2022@spcsrp.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9DBF3-E972-4FE6-8211-D331CB07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1666</Words>
  <Characters>9165</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Comolet</dc:creator>
  <cp:keywords/>
  <dc:description/>
  <cp:lastModifiedBy>cheikh sambe</cp:lastModifiedBy>
  <cp:revision>2</cp:revision>
  <dcterms:created xsi:type="dcterms:W3CDTF">2022-05-10T12:50:00Z</dcterms:created>
  <dcterms:modified xsi:type="dcterms:W3CDTF">2022-05-10T12:50:00Z</dcterms:modified>
</cp:coreProperties>
</file>